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426" w:tblpY="3089"/>
        <w:tblOverlap w:val="never"/>
        <w:tblW w:w="901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596"/>
        <w:gridCol w:w="1032"/>
        <w:gridCol w:w="673"/>
        <w:gridCol w:w="5852"/>
      </w:tblGrid>
      <w:tr w14:paraId="37440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D90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338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评分类别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B32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评分项目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EAA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分值</w:t>
            </w:r>
          </w:p>
        </w:tc>
        <w:tc>
          <w:tcPr>
            <w:tcW w:w="5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3B7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评分标准</w:t>
            </w:r>
          </w:p>
        </w:tc>
      </w:tr>
      <w:tr w14:paraId="06933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112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Segoe UI" w:hAnsi="Segoe UI" w:eastAsia="Segoe UI" w:cs="Segoe UI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B11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价格部分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0C1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报价得分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A1F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5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E73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采用下浮率报价（基准下浮率 = 所有有效报价中的最高下浮率），满分</w:t>
            </w: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分。                              </w:t>
            </w:r>
          </w:p>
          <w:p w14:paraId="26896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供应商报价得分＝30 ×（1 - |基准下浮率 - 供应商下浮率| / 基准下浮率）。</w:t>
            </w:r>
          </w:p>
        </w:tc>
      </w:tr>
      <w:tr w14:paraId="3F38F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FDA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4A5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技术部分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490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项目实施方案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905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5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A02D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针对医院零星修缮特点编制实施方案（含院感防控、防噪防尘、人员进出管理、施工区域隔离等内容）：内容全面科学合理得12分；完整可行得8分；基本可行得5分；方案有明显瑕疵得2分；未提供或无关联得0分。</w:t>
            </w:r>
          </w:p>
        </w:tc>
      </w:tr>
      <w:tr w14:paraId="04C74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92D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EB96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9C4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施工机具配置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F17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5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BCA3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配置完善合理可行得6分；合理可行得4分；基本可行得3分；配置明显不足得1分；未提供或不能满足要求得0分。</w:t>
            </w:r>
          </w:p>
        </w:tc>
      </w:tr>
      <w:tr w14:paraId="5FE46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C8B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D0FC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172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劳动力及人员配置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E8A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5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C2E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工种配置合理（含电工、焊工等特种作业人员）、人员充足、资质齐全得6分；基本合理得4分；配置不足得2分；未提供得0分。</w:t>
            </w:r>
          </w:p>
        </w:tc>
      </w:tr>
      <w:tr w14:paraId="12DC0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B9E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6679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515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应急响应时间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41F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5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1964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承诺</w:t>
            </w: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小时内到达现场、</w:t>
            </w: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小时内完成维修的得</w:t>
            </w: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分；承诺</w:t>
            </w: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小时内到达现场、</w:t>
            </w: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小时内完成维修的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得</w:t>
            </w: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分；承诺</w:t>
            </w: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小时内到达现场、</w:t>
            </w: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小时内完成维修的得</w:t>
            </w: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分；承诺超过</w:t>
            </w: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小时到达现场或超过</w:t>
            </w: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小时完成维修的得</w:t>
            </w: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分；未提供承诺的得</w:t>
            </w: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分。</w:t>
            </w:r>
          </w:p>
        </w:tc>
      </w:tr>
      <w:tr w14:paraId="63CE2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A8C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84A9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22A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安全生产及文明施工措施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319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5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B573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制度健全、措施完善，符合医院特殊环境要求（含院感防控、病人休息、防噪防尘、医疗区域隔离等）得6分；基本完善得4分；措施不完善得2分；未提供得</w:t>
            </w: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分。</w:t>
            </w:r>
          </w:p>
        </w:tc>
      </w:tr>
      <w:tr w14:paraId="68513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7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251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5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6C8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商务部分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61B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类似项目业绩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98F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340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自</w:t>
            </w: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2021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日以来（以合同签订时间为准），具有医院或类似机构（学校、养老院等公共机构）零星修缮</w:t>
            </w: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装修项目服务业绩的，每提供</w:t>
            </w: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个有效业绩（须提供合同复印件及验收证明或履约评价等佐证材料）得</w:t>
            </w: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分，最高</w:t>
            </w:r>
            <w:r>
              <w:rPr>
                <w:rFonts w:hint="default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分。同一采购单位不重复计分。</w:t>
            </w:r>
          </w:p>
        </w:tc>
      </w:tr>
      <w:tr w14:paraId="039D7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8E4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FD21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F76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质量保修及售后服务承诺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C01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egoe UI" w:hAnsi="Segoe UI" w:eastAsia="宋体" w:cs="Segoe UI"/>
                <w:i w:val="0"/>
                <w:iCs w:val="0"/>
                <w:color w:val="0F1115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olor w:val="0F1115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5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60F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售后方案完善、维修响应及时得5分；较完善得3分；一般得2分；未提供得0分。</w:t>
            </w:r>
          </w:p>
        </w:tc>
      </w:tr>
      <w:tr w14:paraId="257A9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718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5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0D76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0"/>
                <w:szCs w:val="20"/>
                <w:u w:val="none"/>
              </w:rPr>
            </w:pP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BB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质保期</w:t>
            </w:r>
          </w:p>
        </w:tc>
        <w:tc>
          <w:tcPr>
            <w:tcW w:w="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444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Segoe UI" w:hAnsi="Segoe UI" w:eastAsia="宋体" w:cs="Segoe UI"/>
                <w:i w:val="0"/>
                <w:iCs w:val="0"/>
                <w:color w:val="0F1115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i w:val="0"/>
                <w:iCs w:val="0"/>
                <w:color w:val="0F1115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5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F1E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F1115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0"/>
                <w:szCs w:val="20"/>
                <w:u w:val="none"/>
                <w:lang w:val="en-US" w:eastAsia="zh-CN" w:bidi="ar"/>
              </w:rPr>
              <w:t>供应商承诺质保期达到国家现行规范标准（2年）的，得2分；在此基础上，质保期每增加1年加1分，最高5分。未达到国家标准2年的不得分。</w:t>
            </w:r>
          </w:p>
        </w:tc>
      </w:tr>
    </w:tbl>
    <w:p w14:paraId="2A1DDD19">
      <w:pPr>
        <w:pStyle w:val="2"/>
        <w:bidi w:val="0"/>
        <w:jc w:val="center"/>
        <w:rPr>
          <w:rFonts w:hint="default"/>
          <w:sz w:val="28"/>
          <w:szCs w:val="18"/>
          <w:lang w:val="en-US"/>
        </w:rPr>
      </w:pPr>
      <w:r>
        <w:rPr>
          <w:rFonts w:hint="eastAsia"/>
          <w:sz w:val="28"/>
          <w:szCs w:val="18"/>
          <w:lang w:val="en-US" w:eastAsia="zh-CN"/>
        </w:rPr>
        <w:t>龙湖区第三人民医院征集采购零星修缮项目院内遴选评分标准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C913C9"/>
    <w:rsid w:val="46C913C9"/>
    <w:rsid w:val="55963388"/>
    <w:rsid w:val="6A11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31"/>
    <w:basedOn w:val="4"/>
    <w:uiPriority w:val="0"/>
    <w:rPr>
      <w:rFonts w:hint="default" w:ascii="Segoe UI" w:hAnsi="Segoe UI" w:eastAsia="Segoe UI" w:cs="Segoe UI"/>
      <w:color w:val="0F1115"/>
      <w:sz w:val="20"/>
      <w:szCs w:val="20"/>
      <w:u w:val="none"/>
    </w:rPr>
  </w:style>
  <w:style w:type="character" w:customStyle="1" w:styleId="6">
    <w:name w:val="font21"/>
    <w:basedOn w:val="4"/>
    <w:qFormat/>
    <w:uiPriority w:val="0"/>
    <w:rPr>
      <w:rFonts w:hint="eastAsia" w:ascii="宋体" w:hAnsi="宋体" w:eastAsia="宋体" w:cs="宋体"/>
      <w:color w:val="0F1115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901</Words>
  <Characters>920</Characters>
  <Lines>0</Lines>
  <Paragraphs>0</Paragraphs>
  <TotalTime>1091</TotalTime>
  <ScaleCrop>false</ScaleCrop>
  <LinksUpToDate>false</LinksUpToDate>
  <CharactersWithSpaces>959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2026-07-27T07:29:00Z</dcterms:created>
  <dc:creator>FBone</dc:creator>
  <cp:lastModifiedBy>FBone</cp:lastModifiedBy>
  <cp:lastPrinted>2026-07-28T02:51:58Z</cp:lastPrinted>
  <dcterms:modified xsi:type="dcterms:W3CDTF">2026-07-28T02:53:44Z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F214C7F938EC4DCDA681708B00C33383_11</vt:lpwstr>
  </property>
  <property fmtid="{D5CDD505-2E9C-101B-9397-08002B2CF9AE}" pid="4" name="KSOTemplateDocerSaveRecord">
    <vt:lpwstr>eyJoZGlkIjoiMDkyNzVhNGU4MzY4YzhkYjk2YTdkMGU5ZjM1MWRlYTEiLCJ1c2VySWQiOiI3NDI1OTEyIn0=</vt:lpwstr>
  </property>
</Properties>
</file>