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B0500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u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</w:rPr>
        <w:t>汕头市龙湖区第二人民医院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eastAsia="zh-CN"/>
        </w:rPr>
        <w:t>医共体集团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</w:rPr>
        <w:t>征集采购代理机构</w:t>
      </w:r>
    </w:p>
    <w:p w14:paraId="2152B690">
      <w:pP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评分标准</w:t>
      </w:r>
    </w:p>
    <w:tbl>
      <w:tblPr>
        <w:tblStyle w:val="2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7144"/>
        <w:gridCol w:w="866"/>
      </w:tblGrid>
      <w:tr w14:paraId="1673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81AB4E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分项</w:t>
            </w:r>
          </w:p>
          <w:p w14:paraId="311A0D34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内容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C90454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要求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F24190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分值</w:t>
            </w:r>
          </w:p>
        </w:tc>
      </w:tr>
      <w:tr w14:paraId="7954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11B8D9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1.投入本项目人员情况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2ACAC6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项目负责人：</w:t>
            </w:r>
          </w:p>
          <w:p w14:paraId="0F785771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（1）具有不少于10年政府采购工作经验，得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分。</w:t>
            </w:r>
          </w:p>
          <w:p w14:paraId="72A661F0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（2）具有中级专业技术职称，得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分；本小项最高得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分。</w:t>
            </w:r>
          </w:p>
          <w:p w14:paraId="0FC0EAE4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注：本项最高得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分。提供2024年1月以来任一个月，响应供应商为项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4"/>
              </w:rPr>
              <w:t>目负责人缴纳的社保证明材料、个人工作履历材料及相关证书材料。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308BD4">
            <w:pPr>
              <w:snapToGrid w:val="0"/>
              <w:spacing w:line="348" w:lineRule="auto"/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</w:p>
        </w:tc>
      </w:tr>
      <w:tr w14:paraId="48F5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D4DC84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78D7F5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项目经办人（项目负责人除外）：</w:t>
            </w:r>
          </w:p>
          <w:p w14:paraId="57197B92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每配备1名不少于5年政府采购工作经验、且具有中级及以上专业技术职称人员得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分，最高得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分。</w:t>
            </w:r>
          </w:p>
          <w:p w14:paraId="6246BFD6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注：提供2024年1月以来任一个月，响应供应商为相关人员缴纳社保证明材料、个人工作履历材料及相关证书材料。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8E0BDC">
            <w:pPr>
              <w:snapToGrid w:val="0"/>
              <w:spacing w:line="348" w:lineRule="auto"/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</w:p>
        </w:tc>
      </w:tr>
      <w:tr w14:paraId="772B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CC03E0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2.认证</w:t>
            </w:r>
          </w:p>
          <w:p w14:paraId="3E662329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体系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6617DF">
            <w:pPr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具备有效的ISO质量管理体系认证、环境管理体系认证、职业健康管理体系认证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每具备其中一项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分，满分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分。</w:t>
            </w:r>
          </w:p>
          <w:p w14:paraId="7464353D">
            <w:pPr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注：提供以上证书复印件。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69ABD3">
            <w:pPr>
              <w:snapToGrid w:val="0"/>
              <w:spacing w:line="348" w:lineRule="auto"/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3</w:t>
            </w:r>
          </w:p>
        </w:tc>
      </w:tr>
      <w:tr w14:paraId="4614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A5CA2B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</w:rPr>
              <w:t>.服务</w:t>
            </w:r>
          </w:p>
          <w:p w14:paraId="7D9056B6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经验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37E680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具有2</w:t>
            </w:r>
            <w:r>
              <w:rPr>
                <w:rFonts w:asciiTheme="minorEastAsia" w:hAnsiTheme="minorEastAsia" w:eastAsiaTheme="minorEastAsia"/>
                <w:sz w:val="24"/>
              </w:rPr>
              <w:t>021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年1月1日以来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医院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招标代理资格（协议期限不少于1年），每服务一个用户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分，本小项最高得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分。</w:t>
            </w:r>
          </w:p>
          <w:p w14:paraId="1E574E85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注：提供中标/中选/入围通知书/入围框架协议书/采购单位证明等材料复印件，同一单位不同年度不累计得分。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DE73BA">
            <w:pPr>
              <w:snapToGrid w:val="0"/>
              <w:spacing w:line="348" w:lineRule="auto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30</w:t>
            </w:r>
          </w:p>
        </w:tc>
      </w:tr>
      <w:tr w14:paraId="67E9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3EBAC9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90A57A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2021年1月1日以来，完成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医院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委托的采购项目经验：</w:t>
            </w:r>
          </w:p>
          <w:p w14:paraId="0E93F238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（1）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政府采购货物类</w:t>
            </w:r>
            <w:r>
              <w:rPr>
                <w:rFonts w:hint="eastAsia" w:asciiTheme="minorEastAsia" w:hAnsiTheme="minorEastAsia" w:eastAsiaTheme="minorEastAsia"/>
                <w:sz w:val="24"/>
              </w:rPr>
              <w:t>项目，单个项目预算金额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00万元或以上的业绩，每个得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分，本小项最高得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6E21A283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（2）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政府采购服务类</w:t>
            </w:r>
            <w:r>
              <w:rPr>
                <w:rFonts w:hint="eastAsia" w:asciiTheme="minorEastAsia" w:hAnsiTheme="minorEastAsia" w:eastAsiaTheme="minorEastAsia"/>
                <w:sz w:val="24"/>
              </w:rPr>
              <w:t>项目，单个项目预算金额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00万元或以上的业绩，每个得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分，本小项最高得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79A8B427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注：提供委托代理协议关键页复印件（包含项目名称、预算金额和双方签订盖章页）、政府采购网发布的中标/成交结果公告截图，以上两项材料缺一无效。项目完成时间以中标/成交结果公告发布时间为准。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2FCB1">
            <w:pPr>
              <w:snapToGrid w:val="0"/>
              <w:spacing w:line="348" w:lineRule="auto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18</w:t>
            </w:r>
          </w:p>
        </w:tc>
      </w:tr>
      <w:tr w14:paraId="7A64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84A30D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</w:rPr>
              <w:t>.场地设施及交通便利性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CBE0D6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根据响应供应商完成招投标全流程所需的场地布置合理性、设备配置情况、遴选人代表到场参与评审的交通便利性进行评价：</w:t>
            </w:r>
          </w:p>
          <w:p w14:paraId="42A92F9C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（1）开标评标室配备齐全，办公环境十分舒适，交通非常便利，得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18546AEB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（2）开标评标室配备齐全，办公环境较舒适，交通较便利，得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301DE391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（3）开标评标室配备齐全，办公环境适中，交通不便利，得2分；</w:t>
            </w:r>
          </w:p>
          <w:p w14:paraId="5B330ACD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（4）开标评标室配备不齐全，办公环境简陋，交通不便利，或提供的相关资料和说明不全，得1分；</w:t>
            </w:r>
          </w:p>
          <w:p w14:paraId="2B632941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注：提供场所彩色图片及资料数据说明。不提供不得分。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A2CDF4">
            <w:pPr>
              <w:snapToGrid w:val="0"/>
              <w:spacing w:line="348" w:lineRule="auto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10</w:t>
            </w:r>
          </w:p>
        </w:tc>
      </w:tr>
      <w:tr w14:paraId="6957F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1E8DE1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  <w:lang w:val="en-US" w:eastAsia="zh-CN"/>
              </w:rPr>
              <w:t>5</w:t>
            </w:r>
            <w:r>
              <w:rPr>
                <w:rFonts w:hint="eastAsia" w:cs="Arial" w:asciiTheme="minorEastAsia" w:hAnsiTheme="minorEastAsia" w:eastAsiaTheme="minorEastAsia"/>
                <w:sz w:val="24"/>
              </w:rPr>
              <w:t>.</w:t>
            </w:r>
            <w:r>
              <w:rPr>
                <w:rFonts w:cs="Arial" w:asciiTheme="minorEastAsia" w:hAnsiTheme="minorEastAsia" w:eastAsiaTheme="minorEastAsia"/>
                <w:sz w:val="24"/>
              </w:rPr>
              <w:t>服务方案及保障措施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164C8E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根据响应供应商的</w:t>
            </w:r>
            <w:r>
              <w:rPr>
                <w:rFonts w:cs="Arial" w:asciiTheme="minorEastAsia" w:hAnsiTheme="minorEastAsia" w:eastAsiaTheme="minorEastAsia"/>
                <w:sz w:val="24"/>
              </w:rPr>
              <w:t>服务方案及保障措施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进行评价：</w:t>
            </w:r>
          </w:p>
          <w:p w14:paraId="5858C216">
            <w:pPr>
              <w:spacing w:line="348" w:lineRule="auto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（1）充分理解项目要求，服务方案全面清晰、能充分体现服务价值，有详细、周全的质量保证措施、进度控制措施和风险控制措施，措施合理得</w:t>
            </w:r>
            <w:r>
              <w:rPr>
                <w:rFonts w:hint="eastAsia" w:cs="Arial" w:asciiTheme="minorEastAsia" w:hAnsiTheme="minorEastAsia" w:eastAsiaTheme="minorEastAsia"/>
                <w:sz w:val="24"/>
                <w:lang w:val="en-US" w:eastAsia="zh-CN"/>
              </w:rPr>
              <w:t>10</w:t>
            </w:r>
            <w:r>
              <w:rPr>
                <w:rFonts w:hint="eastAsia" w:cs="Arial" w:asciiTheme="minorEastAsia" w:hAnsiTheme="minorEastAsia" w:eastAsiaTheme="minorEastAsia"/>
                <w:sz w:val="24"/>
              </w:rPr>
              <w:t>分；</w:t>
            </w:r>
          </w:p>
          <w:p w14:paraId="0644D9F3">
            <w:pPr>
              <w:spacing w:line="348" w:lineRule="auto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（2）较好理解项目要求，服务方案较全面、基本能体现服务价值，质量保证措施、进度控制措施较为齐全和完善，风险措施较合理、具有较好操作性得</w:t>
            </w:r>
            <w:r>
              <w:rPr>
                <w:rFonts w:hint="eastAsia" w:cs="Arial" w:asciiTheme="minorEastAsia" w:hAnsiTheme="minorEastAsia" w:eastAsiaTheme="minorEastAsia"/>
                <w:sz w:val="24"/>
                <w:lang w:val="en-US" w:eastAsia="zh-CN"/>
              </w:rPr>
              <w:t>6</w:t>
            </w:r>
            <w:r>
              <w:rPr>
                <w:rFonts w:hint="eastAsia" w:cs="Arial" w:asciiTheme="minorEastAsia" w:hAnsiTheme="minorEastAsia" w:eastAsiaTheme="minorEastAsia"/>
                <w:sz w:val="24"/>
              </w:rPr>
              <w:t>分；</w:t>
            </w:r>
          </w:p>
          <w:p w14:paraId="72874038">
            <w:pPr>
              <w:spacing w:line="348" w:lineRule="auto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（3）理解项目要求一般，服务方案一般，质量保证措施、进度控制措施和风险措施一般，不够合理，未能明显体现服务价值得2分；</w:t>
            </w:r>
          </w:p>
          <w:p w14:paraId="26A47BBB">
            <w:pPr>
              <w:spacing w:line="348" w:lineRule="auto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（4）理解项目要求较差，服务方案较差，保障措施内容不具有操作性得1分。</w:t>
            </w:r>
          </w:p>
          <w:p w14:paraId="61DAADA1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注：不提供不得分。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F5698A">
            <w:pPr>
              <w:snapToGrid w:val="0"/>
              <w:spacing w:line="348" w:lineRule="auto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20</w:t>
            </w:r>
          </w:p>
        </w:tc>
      </w:tr>
      <w:tr w14:paraId="2B18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A744B">
            <w:pPr>
              <w:snapToGrid w:val="0"/>
              <w:spacing w:line="348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  <w:lang w:val="en-US" w:eastAsia="zh-CN"/>
              </w:rPr>
              <w:t>6</w:t>
            </w:r>
            <w:r>
              <w:rPr>
                <w:rFonts w:hint="eastAsia" w:cs="Arial" w:asciiTheme="minorEastAsia" w:hAnsiTheme="minorEastAsia" w:eastAsiaTheme="minorEastAsia"/>
                <w:sz w:val="24"/>
              </w:rPr>
              <w:t>.增值服务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FCAAFD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免费提供对遴选人有实质性有利的专业服务或增值服务，如政府采购的专业培训讲座、专家咨询、数据挖掘（如类似项目历史成交数据等）、采购需求调查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论证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等，增值服务有利于遴选人工作实施且切实可行。提供增值服务方案/计划书。</w:t>
            </w:r>
          </w:p>
          <w:p w14:paraId="1EC110D4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（1）增值服务内容丰富，完全贴合遴选人招标采购的工作需要的，得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69DDD222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（2）增值服务内容较丰富，较为贴合遴选人招标采购的工作需要的，得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7B7D694A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（3）增值服务内容较简单或基本贴合遴选人招标采购的工作需要的，得2分；</w:t>
            </w:r>
          </w:p>
          <w:p w14:paraId="3B8D5DB6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注：不提供不得分。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7E14C">
            <w:pPr>
              <w:snapToGrid w:val="0"/>
              <w:spacing w:line="348" w:lineRule="auto"/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7</w:t>
            </w:r>
          </w:p>
        </w:tc>
      </w:tr>
      <w:tr w14:paraId="73F1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DDC538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4"/>
              </w:rPr>
              <w:t>.质疑投诉处理能力</w:t>
            </w:r>
          </w:p>
        </w:tc>
        <w:tc>
          <w:tcPr>
            <w:tcW w:w="7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40B42C">
            <w:pPr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建立质疑情况档案，设定质疑预防机制；对投标人对招标文件、招标过程及招标结果提出的质疑的处理，依据提供的预防机制及质疑处理方案的合理性、科学性、可操作性进行综合评价。</w:t>
            </w:r>
          </w:p>
          <w:p w14:paraId="64930E59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（1）质疑预防机制及处理方案十分合理、科学、可操作性很强的得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6341DEDF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（2）质疑预防机制及处理方案较合理、科学、可操作的得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7990B504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（3）质疑预防机制及处理方案不合理、不科学、可操作性较差的得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分；</w:t>
            </w:r>
          </w:p>
          <w:p w14:paraId="3A085AAC">
            <w:pPr>
              <w:snapToGrid w:val="0"/>
              <w:spacing w:line="348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（4）不提供方案得0分。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ABDBFF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5863C5EC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6DACDBD0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50294668">
            <w:pPr>
              <w:snapToGrid w:val="0"/>
              <w:spacing w:line="348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55A1391">
            <w:pPr>
              <w:snapToGrid w:val="0"/>
              <w:spacing w:line="348" w:lineRule="auto"/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4</w:t>
            </w:r>
          </w:p>
        </w:tc>
      </w:tr>
    </w:tbl>
    <w:p w14:paraId="0464113F">
      <w:pP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u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A260B"/>
    <w:rsid w:val="03F65B76"/>
    <w:rsid w:val="211A260B"/>
    <w:rsid w:val="342D5C57"/>
    <w:rsid w:val="43962AEF"/>
    <w:rsid w:val="5667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1580</Words>
  <Characters>1616</Characters>
  <Lines>0</Lines>
  <Paragraphs>0</Paragraphs>
  <TotalTime>910</TotalTime>
  <ScaleCrop>false</ScaleCrop>
  <LinksUpToDate>false</LinksUpToDate>
  <CharactersWithSpaces>1617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2025-03-11T10:01:00Z</dcterms:created>
  <dc:creator>国科GJX</dc:creator>
  <cp:lastModifiedBy>WPS_1617649358</cp:lastModifiedBy>
  <cp:lastPrinted>2025-03-11T10:12:00Z</cp:lastPrinted>
  <dcterms:modified xsi:type="dcterms:W3CDTF">2025-05-13T03:51:19Z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1EBD2CE0963245A581C8D4725C54FF2E_13</vt:lpwstr>
  </property>
  <property fmtid="{D5CDD505-2E9C-101B-9397-08002B2CF9AE}" pid="4" name="KSOTemplateDocerSaveRecord">
    <vt:lpwstr>eyJoZGlkIjoiZjgxMTJhNjVhNTRmZDM1NmI5MjQ4OTc5NjIxMWIwNmIiLCJ1c2VySWQiOiIxMjAyNDY2MzE1In0=</vt:lpwstr>
  </property>
</Properties>
</file>