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993C16">
      <w:pPr>
        <w:widowControl/>
        <w:spacing w:line="360" w:lineRule="auto"/>
        <w:jc w:val="center"/>
        <w:rPr>
          <w:rFonts w:ascii="微软雅黑" w:hAnsi="微软雅黑" w:eastAsia="微软雅黑" w:cs="宋体"/>
          <w:color w:val="000000"/>
          <w:sz w:val="24"/>
        </w:rPr>
      </w:pPr>
      <w:r>
        <w:rPr>
          <w:rFonts w:ascii="微软雅黑" w:hAnsi="微软雅黑" w:eastAsia="微软雅黑" w:cs="微软雅黑"/>
          <w:b/>
          <w:color w:val="000000"/>
          <w:kern w:val="0"/>
          <w:sz w:val="48"/>
          <w:szCs w:val="48"/>
        </w:rPr>
        <w:t>用 户 需 求</w:t>
      </w:r>
      <w:r>
        <w:rPr>
          <w:rFonts w:hint="eastAsia" w:ascii="微软雅黑" w:hAnsi="微软雅黑" w:eastAsia="微软雅黑" w:cs="微软雅黑"/>
          <w:b/>
          <w:color w:val="000000"/>
          <w:kern w:val="0"/>
          <w:sz w:val="48"/>
          <w:szCs w:val="48"/>
        </w:rPr>
        <w:t xml:space="preserve"> 书</w:t>
      </w:r>
    </w:p>
    <w:p w14:paraId="18A2A4F0">
      <w:pPr>
        <w:pStyle w:val="2"/>
        <w:widowControl/>
        <w:numPr>
          <w:ilvl w:val="0"/>
          <w:numId w:val="0"/>
        </w:numPr>
        <w:ind w:left="992" w:hanging="992"/>
        <w:jc w:val="both"/>
        <w:rPr>
          <w:rFonts w:ascii="微软雅黑" w:hAnsi="微软雅黑" w:eastAsia="微软雅黑" w:cs="Cambria"/>
        </w:rPr>
      </w:pPr>
      <w:r>
        <w:rPr>
          <w:rFonts w:ascii="微软雅黑" w:hAnsi="微软雅黑" w:eastAsia="微软雅黑" w:cs="宋体"/>
          <w:color w:val="000000"/>
        </w:rPr>
        <w:t>一、资格要求</w:t>
      </w:r>
    </w:p>
    <w:p w14:paraId="51918C6F">
      <w:pPr>
        <w:numPr>
          <w:ilvl w:val="1"/>
          <w:numId w:val="3"/>
        </w:numPr>
        <w:adjustRightInd w:val="0"/>
        <w:snapToGrid w:val="0"/>
        <w:spacing w:line="360" w:lineRule="auto"/>
        <w:rPr>
          <w:rFonts w:ascii="微软雅黑" w:hAnsi="微软雅黑" w:eastAsia="微软雅黑"/>
          <w:bCs/>
          <w:color w:val="FF0000"/>
        </w:rPr>
      </w:pPr>
      <w:r>
        <w:rPr>
          <w:rFonts w:hint="eastAsia" w:ascii="微软雅黑" w:hAnsi="微软雅黑" w:eastAsia="微软雅黑"/>
          <w:bCs/>
        </w:rPr>
        <w:t>供应商应具备《政府采购法》第二十二条规定的条件；</w:t>
      </w:r>
    </w:p>
    <w:p w14:paraId="3AEA705B">
      <w:pPr>
        <w:numPr>
          <w:ilvl w:val="1"/>
          <w:numId w:val="3"/>
        </w:numPr>
        <w:adjustRightInd w:val="0"/>
        <w:snapToGrid w:val="0"/>
        <w:spacing w:line="360" w:lineRule="auto"/>
        <w:rPr>
          <w:rFonts w:ascii="微软雅黑" w:hAnsi="微软雅黑" w:eastAsia="微软雅黑"/>
          <w:bCs/>
        </w:rPr>
      </w:pPr>
      <w:r>
        <w:rPr>
          <w:rFonts w:hint="eastAsia" w:ascii="微软雅黑" w:hAnsi="微软雅黑" w:eastAsia="微软雅黑"/>
          <w:szCs w:val="21"/>
        </w:rPr>
        <w:t>供应商必须是具有独立承担民事责任能力的在中华人民共和国境内注册的法人或其他组织或自然人；</w:t>
      </w:r>
    </w:p>
    <w:p w14:paraId="41375FA8">
      <w:pPr>
        <w:numPr>
          <w:ilvl w:val="1"/>
          <w:numId w:val="3"/>
        </w:numPr>
        <w:adjustRightInd w:val="0"/>
        <w:snapToGrid w:val="0"/>
        <w:spacing w:line="360" w:lineRule="auto"/>
        <w:rPr>
          <w:rFonts w:hint="eastAsia" w:ascii="微软雅黑" w:hAnsi="微软雅黑" w:eastAsia="微软雅黑"/>
          <w:bCs/>
          <w:kern w:val="0"/>
          <w:szCs w:val="21"/>
        </w:rPr>
      </w:pPr>
      <w:r>
        <w:rPr>
          <w:rFonts w:hint="eastAsia" w:ascii="微软雅黑" w:hAnsi="微软雅黑" w:eastAsia="微软雅黑"/>
          <w:bCs/>
          <w:kern w:val="0"/>
          <w:szCs w:val="21"/>
        </w:rPr>
        <w:t>供应商</w:t>
      </w:r>
      <w:r>
        <w:rPr>
          <w:rFonts w:hint="eastAsia" w:ascii="微软雅黑" w:hAnsi="微软雅黑" w:eastAsia="微软雅黑"/>
          <w:bCs/>
          <w:szCs w:val="21"/>
        </w:rPr>
        <w:t>具有卫生部门核发且在有效期内的《医疗机构执业许可证》诊疗科目包含“医学检验科”</w:t>
      </w:r>
      <w:r>
        <w:rPr>
          <w:rFonts w:hint="eastAsia" w:ascii="微软雅黑" w:hAnsi="微软雅黑" w:eastAsia="微软雅黑"/>
          <w:bCs/>
          <w:szCs w:val="21"/>
          <w:lang w:eastAsia="zh-CN"/>
        </w:rPr>
        <w:t>“病理</w:t>
      </w:r>
      <w:r>
        <w:rPr>
          <w:rFonts w:hint="eastAsia" w:ascii="微软雅黑" w:hAnsi="微软雅黑" w:eastAsia="微软雅黑"/>
          <w:bCs/>
          <w:kern w:val="0"/>
          <w:szCs w:val="21"/>
          <w:lang w:eastAsia="zh-CN"/>
        </w:rPr>
        <w:t>科”，执业范围应包括临床体液血液专业、临床化学检验专业、临床免疫学专业、临床微生物学专业、临床细胞分子遗传学专业、病理学专业等，并需具有相关的检测资质；</w:t>
      </w:r>
    </w:p>
    <w:p w14:paraId="7182CC74">
      <w:pPr>
        <w:numPr>
          <w:ilvl w:val="1"/>
          <w:numId w:val="3"/>
        </w:numPr>
        <w:adjustRightInd w:val="0"/>
        <w:snapToGrid w:val="0"/>
        <w:spacing w:line="360" w:lineRule="auto"/>
        <w:rPr>
          <w:rFonts w:hint="eastAsia" w:ascii="微软雅黑" w:hAnsi="微软雅黑" w:eastAsia="微软雅黑"/>
          <w:bCs/>
          <w:kern w:val="0"/>
          <w:szCs w:val="21"/>
        </w:rPr>
      </w:pPr>
      <w:r>
        <w:rPr>
          <w:rFonts w:hint="eastAsia" w:ascii="微软雅黑" w:hAnsi="微软雅黑" w:eastAsia="微软雅黑"/>
          <w:bCs/>
          <w:kern w:val="0"/>
          <w:szCs w:val="21"/>
          <w:lang w:eastAsia="zh-CN"/>
        </w:rPr>
        <w:t>供应商通过</w:t>
      </w:r>
      <w:r>
        <w:rPr>
          <w:rFonts w:hint="eastAsia" w:ascii="微软雅黑" w:hAnsi="微软雅黑" w:eastAsia="微软雅黑"/>
          <w:bCs/>
          <w:kern w:val="0"/>
          <w:szCs w:val="21"/>
          <w:lang w:val="en-US" w:eastAsia="zh-CN"/>
        </w:rPr>
        <w:t>ISO15189实验室认证、CMA（中国计量认证）、CNAS（中国合格评定国家认可委员会认证）等资质的优先；</w:t>
      </w:r>
    </w:p>
    <w:p w14:paraId="482F7DB9">
      <w:pPr>
        <w:numPr>
          <w:ilvl w:val="1"/>
          <w:numId w:val="3"/>
        </w:numPr>
        <w:adjustRightInd w:val="0"/>
        <w:snapToGrid w:val="0"/>
        <w:spacing w:line="360" w:lineRule="auto"/>
        <w:rPr>
          <w:rFonts w:ascii="微软雅黑" w:hAnsi="微软雅黑" w:eastAsia="微软雅黑" w:cs="宋体"/>
          <w:bCs/>
          <w:kern w:val="0"/>
          <w:szCs w:val="21"/>
        </w:rPr>
      </w:pPr>
      <w:r>
        <w:rPr>
          <w:rFonts w:hint="eastAsia" w:ascii="微软雅黑" w:hAnsi="微软雅黑" w:eastAsia="微软雅黑"/>
          <w:szCs w:val="21"/>
        </w:rPr>
        <w:t>参加政府采购活动前3年内在经营活动中没有重大违法记录的书面声明</w:t>
      </w:r>
      <w:r>
        <w:rPr>
          <w:rFonts w:hint="eastAsia" w:ascii="微软雅黑" w:hAnsi="微软雅黑" w:eastAsia="微软雅黑" w:cs="宋体"/>
          <w:bCs/>
          <w:kern w:val="0"/>
          <w:szCs w:val="21"/>
        </w:rPr>
        <w:t>；</w:t>
      </w:r>
    </w:p>
    <w:p w14:paraId="17E9EADC">
      <w:pPr>
        <w:numPr>
          <w:ilvl w:val="1"/>
          <w:numId w:val="3"/>
        </w:numPr>
        <w:adjustRightInd w:val="0"/>
        <w:snapToGrid w:val="0"/>
        <w:spacing w:line="360" w:lineRule="auto"/>
        <w:rPr>
          <w:rFonts w:ascii="微软雅黑" w:hAnsi="微软雅黑" w:eastAsia="微软雅黑"/>
          <w:bCs/>
          <w:szCs w:val="21"/>
        </w:rPr>
      </w:pPr>
      <w:r>
        <w:rPr>
          <w:rFonts w:ascii="微软雅黑" w:hAnsi="微软雅黑" w:eastAsia="微软雅黑"/>
          <w:color w:val="000000"/>
          <w:szCs w:val="21"/>
        </w:rPr>
        <w:t>投标人未被列入“信用中国”网站(www.creditchina.gov.cn)“记录失信被执行人或重大税收违法案件当事人名单或政府采购严重违法失信行为”记录名单</w:t>
      </w:r>
      <w:r>
        <w:rPr>
          <w:rFonts w:hint="eastAsia" w:ascii="微软雅黑" w:hAnsi="微软雅黑" w:eastAsia="微软雅黑"/>
          <w:color w:val="000000"/>
          <w:szCs w:val="21"/>
        </w:rPr>
        <w:t>。同时，</w:t>
      </w:r>
      <w:r>
        <w:rPr>
          <w:rFonts w:ascii="微软雅黑" w:hAnsi="微软雅黑" w:eastAsia="微软雅黑"/>
          <w:color w:val="000000"/>
          <w:szCs w:val="21"/>
        </w:rPr>
        <w:t>不处于中国政府采购网(www.ccgp.gov.cn)“政府采购严重违法失信行为信息记录”中的禁止参加政府采购活动期间。（</w:t>
      </w:r>
      <w:r>
        <w:rPr>
          <w:rFonts w:hint="eastAsia" w:ascii="微软雅黑" w:hAnsi="微软雅黑" w:eastAsia="微软雅黑" w:cs="宋体"/>
          <w:color w:val="000000"/>
        </w:rPr>
        <w:t>说明：①、</w:t>
      </w:r>
      <w:r>
        <w:rPr>
          <w:rFonts w:hint="eastAsia" w:ascii="微软雅黑" w:hAnsi="微软雅黑" w:eastAsia="微软雅黑"/>
          <w:color w:val="000000"/>
          <w:szCs w:val="21"/>
        </w:rPr>
        <w:t>由负责资格性审查人员</w:t>
      </w:r>
      <w:r>
        <w:rPr>
          <w:rFonts w:ascii="微软雅黑" w:hAnsi="微软雅黑" w:eastAsia="微软雅黑"/>
          <w:color w:val="000000"/>
          <w:szCs w:val="21"/>
        </w:rPr>
        <w:t>于</w:t>
      </w:r>
      <w:r>
        <w:rPr>
          <w:rFonts w:hint="eastAsia" w:ascii="微软雅黑" w:hAnsi="微软雅黑" w:eastAsia="微软雅黑"/>
          <w:color w:val="000000"/>
          <w:szCs w:val="21"/>
        </w:rPr>
        <w:t>投标截止日</w:t>
      </w:r>
      <w:r>
        <w:rPr>
          <w:rFonts w:ascii="微软雅黑" w:hAnsi="微软雅黑" w:eastAsia="微软雅黑"/>
          <w:color w:val="000000"/>
          <w:szCs w:val="21"/>
        </w:rPr>
        <w:t>在“信用中国”网站（www.creditchina.gov.cn）及中国政府采购网(www.ccgp.gov.cn)查询结果为准</w:t>
      </w:r>
      <w:r>
        <w:rPr>
          <w:rFonts w:hint="eastAsia" w:ascii="微软雅黑" w:hAnsi="微软雅黑" w:eastAsia="微软雅黑"/>
          <w:color w:val="000000"/>
          <w:szCs w:val="21"/>
        </w:rPr>
        <w:t>。②、</w:t>
      </w:r>
      <w:r>
        <w:rPr>
          <w:rFonts w:hint="eastAsia" w:ascii="微软雅黑" w:hAnsi="微软雅黑" w:eastAsia="微软雅黑" w:cs="宋体"/>
          <w:color w:val="000000"/>
        </w:rPr>
        <w:t>在上述网站</w:t>
      </w:r>
      <w:r>
        <w:rPr>
          <w:rFonts w:ascii="微软雅黑" w:hAnsi="微软雅黑" w:eastAsia="微软雅黑" w:cs="宋体"/>
          <w:color w:val="000000"/>
        </w:rPr>
        <w:t>查询结果显示“</w:t>
      </w:r>
      <w:r>
        <w:rPr>
          <w:rFonts w:hint="eastAsia" w:ascii="微软雅黑" w:hAnsi="微软雅黑" w:eastAsia="微软雅黑" w:cs="宋体"/>
          <w:color w:val="000000"/>
        </w:rPr>
        <w:t>很抱歉，没有找到您搜索的企业</w:t>
      </w:r>
      <w:r>
        <w:rPr>
          <w:rFonts w:ascii="微软雅黑" w:hAnsi="微软雅黑" w:eastAsia="微软雅黑" w:cs="宋体"/>
          <w:color w:val="000000"/>
        </w:rPr>
        <w:t>”</w:t>
      </w:r>
      <w:r>
        <w:rPr>
          <w:rFonts w:hint="eastAsia" w:ascii="微软雅黑" w:hAnsi="微软雅黑" w:eastAsia="微软雅黑" w:cs="宋体"/>
          <w:color w:val="000000"/>
        </w:rPr>
        <w:t>或“共0条记录”</w:t>
      </w:r>
      <w:r>
        <w:rPr>
          <w:rFonts w:ascii="微软雅黑" w:hAnsi="微软雅黑" w:eastAsia="微软雅黑" w:cs="宋体"/>
          <w:color w:val="000000"/>
        </w:rPr>
        <w:t>，视为没有上述不良</w:t>
      </w:r>
      <w:r>
        <w:rPr>
          <w:rFonts w:hint="eastAsia" w:ascii="微软雅黑" w:hAnsi="微软雅黑" w:eastAsia="微软雅黑"/>
          <w:color w:val="000000"/>
          <w:szCs w:val="21"/>
        </w:rPr>
        <w:t>信用信息</w:t>
      </w:r>
      <w:r>
        <w:rPr>
          <w:rFonts w:ascii="微软雅黑" w:hAnsi="微软雅黑" w:eastAsia="微软雅黑" w:cs="宋体"/>
          <w:color w:val="000000"/>
        </w:rPr>
        <w:t>记录 。</w:t>
      </w:r>
      <w:r>
        <w:rPr>
          <w:rFonts w:hint="eastAsia" w:ascii="微软雅黑" w:hAnsi="微软雅黑" w:eastAsia="微软雅黑" w:cs="宋体"/>
          <w:color w:val="000000"/>
        </w:rPr>
        <w:t>③、采购代理机构同时对信用信息查询记录和证据截图或下载存档</w:t>
      </w:r>
      <w:r>
        <w:rPr>
          <w:rFonts w:hint="eastAsia" w:ascii="微软雅黑" w:hAnsi="微软雅黑" w:eastAsia="微软雅黑" w:cs="宋体"/>
        </w:rPr>
        <w:t>。</w:t>
      </w:r>
      <w:r>
        <w:rPr>
          <w:rFonts w:hint="eastAsia" w:ascii="微软雅黑" w:hAnsi="微软雅黑" w:eastAsia="微软雅黑"/>
          <w:bCs/>
          <w:szCs w:val="21"/>
        </w:rPr>
        <w:t>）；</w:t>
      </w:r>
    </w:p>
    <w:p w14:paraId="44C6FEDA">
      <w:pPr>
        <w:numPr>
          <w:ilvl w:val="1"/>
          <w:numId w:val="3"/>
        </w:numPr>
        <w:adjustRightInd w:val="0"/>
        <w:snapToGrid w:val="0"/>
        <w:spacing w:line="360" w:lineRule="auto"/>
        <w:rPr>
          <w:rFonts w:ascii="微软雅黑" w:hAnsi="微软雅黑" w:eastAsia="微软雅黑"/>
          <w:b/>
        </w:rPr>
      </w:pPr>
      <w:r>
        <w:rPr>
          <w:rFonts w:hint="eastAsia" w:ascii="微软雅黑" w:hAnsi="微软雅黑" w:eastAsia="微软雅黑"/>
          <w:bCs/>
          <w:szCs w:val="21"/>
        </w:rPr>
        <w:t>已办理报名的供应商；</w:t>
      </w:r>
    </w:p>
    <w:p w14:paraId="793BBCFB">
      <w:pPr>
        <w:numPr>
          <w:ilvl w:val="1"/>
          <w:numId w:val="3"/>
        </w:numPr>
        <w:adjustRightInd w:val="0"/>
        <w:snapToGrid w:val="0"/>
        <w:spacing w:line="360" w:lineRule="auto"/>
        <w:rPr>
          <w:rFonts w:ascii="微软雅黑" w:hAnsi="微软雅黑" w:eastAsia="微软雅黑"/>
          <w:bCs/>
          <w:szCs w:val="21"/>
        </w:rPr>
      </w:pPr>
      <w:r>
        <w:rPr>
          <w:rFonts w:hint="eastAsia" w:ascii="微软雅黑" w:hAnsi="微软雅黑" w:eastAsia="微软雅黑"/>
          <w:bCs/>
          <w:szCs w:val="21"/>
        </w:rPr>
        <w:t>本项目各包组均不接受联合体投标。</w:t>
      </w:r>
    </w:p>
    <w:p w14:paraId="6E996E77">
      <w:pPr>
        <w:widowControl/>
        <w:spacing w:line="360" w:lineRule="auto"/>
        <w:ind w:firstLine="525"/>
        <w:rPr>
          <w:rFonts w:ascii="微软雅黑" w:hAnsi="微软雅黑" w:eastAsia="微软雅黑" w:cs="宋体"/>
          <w:color w:val="000000"/>
          <w:sz w:val="24"/>
        </w:rPr>
      </w:pPr>
    </w:p>
    <w:p w14:paraId="4093C812">
      <w:pPr>
        <w:pStyle w:val="2"/>
        <w:widowControl/>
        <w:numPr>
          <w:ilvl w:val="0"/>
          <w:numId w:val="0"/>
        </w:numPr>
        <w:ind w:left="992" w:hanging="992"/>
        <w:jc w:val="both"/>
        <w:rPr>
          <w:rFonts w:ascii="微软雅黑" w:hAnsi="微软雅黑" w:eastAsia="微软雅黑" w:cs="宋体"/>
          <w:color w:val="000000"/>
        </w:rPr>
      </w:pPr>
      <w:r>
        <w:rPr>
          <w:rFonts w:ascii="微软雅黑" w:hAnsi="微软雅黑" w:eastAsia="微软雅黑" w:cs="宋体"/>
          <w:color w:val="000000"/>
        </w:rPr>
        <w:t>二、服务要求</w:t>
      </w:r>
    </w:p>
    <w:p w14:paraId="00DF7C4C">
      <w:pPr>
        <w:numPr>
          <w:ilvl w:val="0"/>
          <w:numId w:val="4"/>
        </w:numPr>
        <w:spacing w:line="360" w:lineRule="auto"/>
        <w:rPr>
          <w:rFonts w:ascii="微软雅黑" w:hAnsi="微软雅黑" w:eastAsia="微软雅黑" w:cs="宋体"/>
          <w:szCs w:val="21"/>
        </w:rPr>
      </w:pPr>
      <w:r>
        <w:rPr>
          <w:rFonts w:hint="eastAsia" w:ascii="微软雅黑" w:hAnsi="微软雅黑" w:eastAsia="微软雅黑" w:cs="宋体"/>
          <w:szCs w:val="21"/>
        </w:rPr>
        <w:t>服务要求：</w:t>
      </w:r>
    </w:p>
    <w:p w14:paraId="7481AEFB">
      <w:pPr>
        <w:pStyle w:val="26"/>
        <w:numPr>
          <w:ilvl w:val="0"/>
          <w:numId w:val="5"/>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投标人必须配备完善医疗冷链物流系统和信息服务体系，要保证接收、送检标本运输过程的安全，保证标本的质量。</w:t>
      </w:r>
    </w:p>
    <w:p w14:paraId="0DC04BC3">
      <w:pPr>
        <w:pStyle w:val="26"/>
        <w:numPr>
          <w:ilvl w:val="0"/>
          <w:numId w:val="5"/>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投标人提供每周</w:t>
      </w:r>
      <w:r>
        <w:rPr>
          <w:rFonts w:hint="eastAsia" w:ascii="微软雅黑" w:hAnsi="微软雅黑" w:eastAsia="微软雅黑" w:cs="仿宋_GB2312"/>
          <w:bCs/>
          <w:szCs w:val="21"/>
          <w:lang w:eastAsia="zh-CN"/>
        </w:rPr>
        <w:t>至少</w:t>
      </w:r>
      <w:r>
        <w:rPr>
          <w:rFonts w:hint="eastAsia" w:ascii="微软雅黑" w:hAnsi="微软雅黑" w:eastAsia="微软雅黑" w:cs="仿宋_GB2312"/>
          <w:bCs/>
          <w:szCs w:val="21"/>
        </w:rPr>
        <w:t>六天的上门接收标本的服务，时间为8：30至17：30。遇特殊标本可机动收取。</w:t>
      </w:r>
    </w:p>
    <w:p w14:paraId="58E13984">
      <w:pPr>
        <w:pStyle w:val="26"/>
        <w:numPr>
          <w:ilvl w:val="0"/>
          <w:numId w:val="5"/>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投标人具有规范标本接收、登记和包装流程，保证标本质量和安全，确保标本顺利交接，方便查核。</w:t>
      </w:r>
    </w:p>
    <w:p w14:paraId="0CC7C537">
      <w:pPr>
        <w:pStyle w:val="26"/>
        <w:numPr>
          <w:ilvl w:val="0"/>
          <w:numId w:val="5"/>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投标人标本接收人员要通过严格培训，负责标本质量的初检、标识的核对，标本的接收登记及包装储存。</w:t>
      </w:r>
    </w:p>
    <w:p w14:paraId="21813666">
      <w:pPr>
        <w:pStyle w:val="26"/>
        <w:numPr>
          <w:ilvl w:val="0"/>
          <w:numId w:val="5"/>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投标人必须确保及时接收、送检标本和及时检验。标本不符合检验要求时，应及时通知采购人重新取样。</w:t>
      </w:r>
    </w:p>
    <w:p w14:paraId="54ED5FE4">
      <w:pPr>
        <w:pStyle w:val="26"/>
        <w:numPr>
          <w:ilvl w:val="0"/>
          <w:numId w:val="5"/>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标本在送检过程中出现延迟、遗漏、丢失等情况，投标人应有完善的应急预案予以妥善解决，否则投标人应承担相应责任。</w:t>
      </w:r>
    </w:p>
    <w:p w14:paraId="53ABE038">
      <w:pPr>
        <w:pStyle w:val="26"/>
        <w:numPr>
          <w:ilvl w:val="0"/>
          <w:numId w:val="5"/>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部分特殊检查项目需要的采样器、知情同意书、专用的患者资料登记申请单等由投标人免费提供。</w:t>
      </w:r>
    </w:p>
    <w:p w14:paraId="37CD20B8">
      <w:pPr>
        <w:numPr>
          <w:ilvl w:val="0"/>
          <w:numId w:val="4"/>
        </w:numPr>
        <w:spacing w:line="360" w:lineRule="auto"/>
        <w:rPr>
          <w:rFonts w:ascii="微软雅黑" w:hAnsi="微软雅黑" w:eastAsia="微软雅黑" w:cs="宋体"/>
          <w:szCs w:val="21"/>
        </w:rPr>
      </w:pPr>
      <w:r>
        <w:rPr>
          <w:rFonts w:hint="eastAsia" w:ascii="微软雅黑" w:hAnsi="微软雅黑" w:eastAsia="微软雅黑" w:cs="宋体"/>
          <w:szCs w:val="21"/>
        </w:rPr>
        <w:t>结果</w:t>
      </w:r>
      <w:r>
        <w:rPr>
          <w:rFonts w:hint="eastAsia" w:ascii="微软雅黑" w:hAnsi="微软雅黑" w:eastAsia="微软雅黑" w:cs="宋体"/>
          <w:szCs w:val="21"/>
          <w:lang w:eastAsia="zh-CN"/>
        </w:rPr>
        <w:t>发放及报告</w:t>
      </w:r>
      <w:r>
        <w:rPr>
          <w:rFonts w:hint="eastAsia" w:ascii="微软雅黑" w:hAnsi="微软雅黑" w:eastAsia="微软雅黑" w:cs="宋体"/>
          <w:szCs w:val="21"/>
        </w:rPr>
        <w:t>查询：</w:t>
      </w:r>
    </w:p>
    <w:p w14:paraId="6CAECEBD">
      <w:pPr>
        <w:pStyle w:val="26"/>
        <w:numPr>
          <w:ilvl w:val="0"/>
          <w:numId w:val="6"/>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能保证检验结果实时网络传送，实现实验室数据的汇总、储存、传输功能，投标人负责与医院LIS和HIS系统对接,需符合国家信息安全有关的规定和要求。</w:t>
      </w:r>
    </w:p>
    <w:p w14:paraId="0A4AB71B">
      <w:pPr>
        <w:pStyle w:val="26"/>
        <w:numPr>
          <w:ilvl w:val="0"/>
          <w:numId w:val="6"/>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提供网上查询服务，以供随时查询进度和结果。</w:t>
      </w:r>
    </w:p>
    <w:p w14:paraId="2AD7C601">
      <w:pPr>
        <w:pStyle w:val="26"/>
        <w:numPr>
          <w:ilvl w:val="0"/>
          <w:numId w:val="6"/>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提供电话查询服务，危急值专人电话跟进，确保患者检测信息与临床医生的畅通。</w:t>
      </w:r>
    </w:p>
    <w:p w14:paraId="25B11A0E">
      <w:pPr>
        <w:pStyle w:val="26"/>
        <w:numPr>
          <w:ilvl w:val="0"/>
          <w:numId w:val="6"/>
        </w:numPr>
        <w:snapToGrid w:val="0"/>
        <w:spacing w:line="360" w:lineRule="auto"/>
        <w:ind w:firstLineChars="0"/>
        <w:rPr>
          <w:rFonts w:ascii="微软雅黑" w:hAnsi="微软雅黑" w:eastAsia="微软雅黑" w:cs="仿宋_GB2312"/>
          <w:bCs/>
          <w:szCs w:val="21"/>
        </w:rPr>
      </w:pPr>
      <w:r>
        <w:rPr>
          <w:rFonts w:hint="eastAsia" w:ascii="微软雅黑" w:hAnsi="微软雅黑" w:eastAsia="微软雅黑" w:cs="仿宋_GB2312"/>
          <w:bCs/>
          <w:szCs w:val="21"/>
        </w:rPr>
        <w:t>医院医务人员可以随时调阅检验结果，投标人须保证病人的资料的准确性和检验结果的及时性，并提供系统使用的必要培训与技术支持。</w:t>
      </w:r>
    </w:p>
    <w:p w14:paraId="74ACAD12">
      <w:pPr>
        <w:pStyle w:val="26"/>
        <w:numPr>
          <w:ilvl w:val="0"/>
          <w:numId w:val="6"/>
        </w:numPr>
        <w:snapToGrid w:val="0"/>
        <w:spacing w:line="360" w:lineRule="auto"/>
        <w:ind w:firstLineChars="0"/>
        <w:rPr>
          <w:rFonts w:hint="eastAsia" w:ascii="微软雅黑" w:hAnsi="微软雅黑" w:eastAsia="微软雅黑" w:cs="仿宋_GB2312"/>
          <w:bCs/>
          <w:szCs w:val="21"/>
        </w:rPr>
      </w:pPr>
      <w:r>
        <w:rPr>
          <w:rFonts w:hint="eastAsia" w:ascii="微软雅黑" w:hAnsi="微软雅黑" w:eastAsia="微软雅黑" w:cs="仿宋_GB2312"/>
          <w:bCs/>
          <w:szCs w:val="21"/>
          <w:lang w:eastAsia="zh-CN"/>
        </w:rPr>
        <w:t>投标人向送检单位提供纸质报告，以供患者需求。</w:t>
      </w:r>
    </w:p>
    <w:p w14:paraId="63414991">
      <w:pPr>
        <w:pStyle w:val="26"/>
        <w:numPr>
          <w:ilvl w:val="0"/>
          <w:numId w:val="6"/>
        </w:numPr>
        <w:snapToGrid w:val="0"/>
        <w:spacing w:line="360" w:lineRule="auto"/>
        <w:ind w:firstLineChars="0"/>
        <w:rPr>
          <w:rFonts w:hint="eastAsia" w:ascii="微软雅黑" w:hAnsi="微软雅黑" w:eastAsia="微软雅黑" w:cs="仿宋_GB2312"/>
          <w:bCs/>
          <w:szCs w:val="21"/>
        </w:rPr>
      </w:pPr>
      <w:r>
        <w:rPr>
          <w:rFonts w:hint="eastAsia" w:ascii="微软雅黑" w:hAnsi="微软雅黑" w:eastAsia="微软雅黑" w:cs="仿宋_GB2312"/>
          <w:bCs/>
          <w:szCs w:val="21"/>
        </w:rPr>
        <w:t>技术支持：</w:t>
      </w:r>
    </w:p>
    <w:p w14:paraId="6A9CCCB6">
      <w:pPr>
        <w:numPr>
          <w:ilvl w:val="0"/>
          <w:numId w:val="7"/>
        </w:numPr>
        <w:spacing w:line="360" w:lineRule="auto"/>
        <w:ind w:leftChars="0"/>
        <w:rPr>
          <w:rFonts w:hint="eastAsia" w:ascii="微软雅黑" w:hAnsi="微软雅黑" w:eastAsia="微软雅黑" w:cs="仿宋_GB2312"/>
          <w:bCs/>
          <w:kern w:val="2"/>
          <w:sz w:val="21"/>
          <w:szCs w:val="21"/>
          <w:lang w:val="en-US" w:eastAsia="zh-CN" w:bidi="ar-SA"/>
        </w:rPr>
      </w:pPr>
      <w:r>
        <w:rPr>
          <w:rFonts w:hint="eastAsia" w:ascii="微软雅黑" w:hAnsi="微软雅黑" w:eastAsia="微软雅黑" w:cs="仿宋_GB2312"/>
          <w:bCs/>
          <w:kern w:val="2"/>
          <w:sz w:val="21"/>
          <w:szCs w:val="21"/>
          <w:lang w:val="en-US" w:eastAsia="zh-CN" w:bidi="ar-SA"/>
        </w:rPr>
        <w:t xml:space="preserve"> 项目范围：投标人应具备开展医院所需外送检验项目的全部技术能力，包括但不限于技术难度较高、需要高端设备支持的检验项目。</w:t>
      </w:r>
    </w:p>
    <w:p w14:paraId="31943692">
      <w:pPr>
        <w:pStyle w:val="26"/>
        <w:numPr>
          <w:ilvl w:val="0"/>
          <w:numId w:val="0"/>
        </w:numPr>
        <w:snapToGrid w:val="0"/>
        <w:spacing w:line="360" w:lineRule="auto"/>
        <w:ind w:leftChars="0"/>
        <w:rPr>
          <w:rFonts w:hint="eastAsia" w:ascii="微软雅黑" w:hAnsi="微软雅黑" w:eastAsia="微软雅黑" w:cs="仿宋_GB2312"/>
          <w:bCs/>
          <w:kern w:val="2"/>
          <w:sz w:val="21"/>
          <w:szCs w:val="21"/>
          <w:lang w:val="en-US" w:eastAsia="zh-CN" w:bidi="ar-SA"/>
        </w:rPr>
      </w:pPr>
    </w:p>
    <w:p w14:paraId="5E2E5FF6">
      <w:pPr>
        <w:numPr>
          <w:ilvl w:val="0"/>
          <w:numId w:val="7"/>
        </w:numPr>
        <w:spacing w:line="240" w:lineRule="auto"/>
        <w:ind w:left="0" w:leftChars="0" w:firstLine="0" w:firstLineChars="0"/>
        <w:rPr>
          <w:rFonts w:hint="eastAsia" w:ascii="微软雅黑" w:hAnsi="微软雅黑" w:eastAsia="微软雅黑" w:cs="仿宋_GB2312"/>
          <w:bCs/>
          <w:kern w:val="2"/>
          <w:sz w:val="21"/>
          <w:szCs w:val="21"/>
          <w:lang w:val="en-US" w:eastAsia="zh-CN" w:bidi="ar-SA"/>
        </w:rPr>
      </w:pPr>
      <w:r>
        <w:rPr>
          <w:rFonts w:hint="eastAsia" w:ascii="微软雅黑" w:hAnsi="微软雅黑" w:eastAsia="微软雅黑" w:cs="仿宋_GB2312"/>
          <w:bCs/>
          <w:kern w:val="2"/>
          <w:sz w:val="21"/>
          <w:szCs w:val="21"/>
          <w:lang w:val="en-US" w:eastAsia="zh-CN" w:bidi="ar-SA"/>
        </w:rPr>
        <w:t xml:space="preserve"> 检测方法：采用先进、准确、可靠的检测方法，确保检测结果的准确性和可靠性。</w:t>
      </w:r>
    </w:p>
    <w:p w14:paraId="104A6107">
      <w:pPr>
        <w:numPr>
          <w:ilvl w:val="0"/>
          <w:numId w:val="7"/>
        </w:numPr>
        <w:spacing w:line="360" w:lineRule="auto"/>
        <w:ind w:leftChars="0"/>
        <w:rPr>
          <w:rFonts w:hint="eastAsia" w:ascii="微软雅黑" w:hAnsi="微软雅黑" w:eastAsia="微软雅黑" w:cs="仿宋_GB2312"/>
          <w:bCs/>
          <w:kern w:val="2"/>
          <w:sz w:val="21"/>
          <w:szCs w:val="21"/>
          <w:lang w:val="en-US" w:eastAsia="zh-CN" w:bidi="ar-SA"/>
        </w:rPr>
      </w:pPr>
      <w:r>
        <w:rPr>
          <w:rFonts w:hint="eastAsia" w:ascii="微软雅黑" w:hAnsi="微软雅黑" w:eastAsia="微软雅黑" w:cs="仿宋_GB2312"/>
          <w:bCs/>
          <w:kern w:val="2"/>
          <w:sz w:val="21"/>
          <w:szCs w:val="21"/>
          <w:lang w:val="en-US" w:eastAsia="zh-CN" w:bidi="ar-SA"/>
        </w:rPr>
        <w:t xml:space="preserve"> 技术人员：拥有专业的技术人员团队，具备相应的资质和经验，能够严格按照规范进行操作。</w:t>
      </w:r>
    </w:p>
    <w:p w14:paraId="40FD7785">
      <w:pPr>
        <w:pStyle w:val="26"/>
        <w:numPr>
          <w:ilvl w:val="0"/>
          <w:numId w:val="7"/>
        </w:numPr>
        <w:snapToGrid w:val="0"/>
        <w:spacing w:line="360" w:lineRule="auto"/>
        <w:ind w:left="0" w:leftChars="0" w:firstLine="0" w:firstLineChars="0"/>
        <w:rPr>
          <w:rFonts w:hint="eastAsia" w:ascii="微软雅黑" w:hAnsi="微软雅黑" w:eastAsia="微软雅黑" w:cs="仿宋_GB2312"/>
          <w:bCs/>
          <w:kern w:val="2"/>
          <w:sz w:val="21"/>
          <w:szCs w:val="21"/>
          <w:lang w:val="en-US" w:eastAsia="zh-CN" w:bidi="ar-SA"/>
        </w:rPr>
      </w:pPr>
      <w:r>
        <w:rPr>
          <w:rFonts w:hint="eastAsia" w:ascii="微软雅黑" w:hAnsi="微软雅黑" w:eastAsia="微软雅黑" w:cs="仿宋_GB2312"/>
          <w:bCs/>
          <w:kern w:val="2"/>
          <w:sz w:val="21"/>
          <w:szCs w:val="21"/>
          <w:lang w:val="en-US" w:eastAsia="zh-CN" w:bidi="ar-SA"/>
        </w:rPr>
        <w:t xml:space="preserve"> 拥有权威机构的技术支撑，能依托权威技术支撑机构，以及同一系统内的三甲医院的资源，协助医院开展进修培训、协助医院开展继续教育、学术交流活动及相关科研项目的技术支持等。</w:t>
      </w:r>
    </w:p>
    <w:p w14:paraId="1FE57038">
      <w:pPr>
        <w:pStyle w:val="26"/>
        <w:numPr>
          <w:ilvl w:val="0"/>
          <w:numId w:val="7"/>
        </w:numPr>
        <w:snapToGrid w:val="0"/>
        <w:spacing w:line="360" w:lineRule="auto"/>
        <w:ind w:left="0" w:leftChars="0" w:firstLine="0" w:firstLineChars="0"/>
        <w:rPr>
          <w:rFonts w:ascii="微软雅黑" w:hAnsi="微软雅黑" w:eastAsia="微软雅黑" w:cs="仿宋_GB2312"/>
          <w:bCs/>
          <w:szCs w:val="21"/>
        </w:rPr>
      </w:pPr>
      <w:r>
        <w:rPr>
          <w:rFonts w:hint="eastAsia" w:ascii="微软雅黑" w:hAnsi="微软雅黑" w:eastAsia="微软雅黑" w:cs="仿宋_GB2312"/>
          <w:bCs/>
          <w:kern w:val="2"/>
          <w:sz w:val="21"/>
          <w:szCs w:val="21"/>
          <w:lang w:val="en-US" w:eastAsia="zh-CN" w:bidi="ar-SA"/>
        </w:rPr>
        <w:t xml:space="preserve"> 提供采购人医务工作人员到投标人实验室进修的机会，以提高采购人医务工作人员的专</w:t>
      </w:r>
      <w:r>
        <w:rPr>
          <w:rFonts w:hint="eastAsia" w:ascii="微软雅黑" w:hAnsi="微软雅黑" w:eastAsia="微软雅黑" w:cs="仿宋_GB2312"/>
          <w:bCs/>
          <w:szCs w:val="21"/>
        </w:rPr>
        <w:t>业技能。协助设计、制作相关医学检验宣传资料。能够协助检验科的建设和发展，每年提供检验人员免费进修和培训工作。</w:t>
      </w:r>
    </w:p>
    <w:p w14:paraId="3A6D08E6">
      <w:pPr>
        <w:numPr>
          <w:ilvl w:val="0"/>
          <w:numId w:val="4"/>
        </w:numPr>
        <w:spacing w:line="360" w:lineRule="auto"/>
        <w:rPr>
          <w:rFonts w:ascii="微软雅黑" w:hAnsi="微软雅黑" w:eastAsia="微软雅黑" w:cs="宋体"/>
          <w:szCs w:val="21"/>
        </w:rPr>
      </w:pPr>
      <w:r>
        <w:rPr>
          <w:rFonts w:hint="eastAsia" w:ascii="微软雅黑" w:hAnsi="微软雅黑" w:eastAsia="微软雅黑" w:cs="宋体"/>
          <w:szCs w:val="21"/>
        </w:rPr>
        <w:t>人员要求：</w:t>
      </w:r>
    </w:p>
    <w:p w14:paraId="0C966D67">
      <w:pPr>
        <w:pStyle w:val="26"/>
        <w:numPr>
          <w:ilvl w:val="0"/>
          <w:numId w:val="7"/>
        </w:numPr>
        <w:snapToGrid w:val="0"/>
        <w:spacing w:line="360" w:lineRule="auto"/>
        <w:ind w:left="0" w:leftChars="0" w:firstLine="0" w:firstLineChars="0"/>
        <w:rPr>
          <w:rFonts w:hint="eastAsia" w:ascii="微软雅黑" w:hAnsi="微软雅黑" w:eastAsia="微软雅黑" w:cs="仿宋_GB2312"/>
          <w:bCs/>
          <w:szCs w:val="21"/>
          <w:lang w:val="en-US" w:eastAsia="zh-CN"/>
        </w:rPr>
      </w:pPr>
      <w:r>
        <w:rPr>
          <w:rFonts w:hint="eastAsia" w:ascii="微软雅黑" w:hAnsi="微软雅黑" w:eastAsia="微软雅黑" w:cs="仿宋_GB2312"/>
          <w:bCs/>
          <w:szCs w:val="21"/>
        </w:rPr>
        <w:t>投标人所委派本项目的人员配备必须合理，职责明确，提供完备的服务团队，包括项目负责人、技术人员等具备医学检验、病理学、临床医学等相关专业背景的技术人员。这些人员应接受过正规的专业培训，并具备相应的资格证书</w:t>
      </w:r>
      <w:r>
        <w:rPr>
          <w:rFonts w:hint="eastAsia" w:ascii="微软雅黑" w:hAnsi="微软雅黑" w:eastAsia="微软雅黑" w:cs="仿宋_GB2312"/>
          <w:bCs/>
          <w:szCs w:val="21"/>
          <w:lang w:eastAsia="zh-CN"/>
        </w:rPr>
        <w:t>及专业技术上岗证书。</w:t>
      </w:r>
    </w:p>
    <w:p w14:paraId="432CF6E0">
      <w:pPr>
        <w:pStyle w:val="26"/>
        <w:numPr>
          <w:ilvl w:val="0"/>
          <w:numId w:val="7"/>
        </w:numPr>
        <w:snapToGrid w:val="0"/>
        <w:spacing w:line="360" w:lineRule="auto"/>
        <w:ind w:left="0" w:leftChars="0" w:firstLine="0" w:firstLineChars="0"/>
        <w:rPr>
          <w:rFonts w:hint="eastAsia" w:ascii="微软雅黑" w:hAnsi="微软雅黑" w:eastAsia="微软雅黑" w:cs="仿宋_GB2312"/>
          <w:bCs/>
          <w:szCs w:val="21"/>
        </w:rPr>
      </w:pPr>
      <w:r>
        <w:rPr>
          <w:rFonts w:hint="eastAsia" w:ascii="微软雅黑" w:hAnsi="微软雅黑" w:eastAsia="微软雅黑" w:cs="仿宋_GB2312"/>
          <w:bCs/>
          <w:szCs w:val="21"/>
        </w:rPr>
        <w:t>车辆要求：</w:t>
      </w:r>
    </w:p>
    <w:p w14:paraId="55923C9E">
      <w:pPr>
        <w:pStyle w:val="26"/>
        <w:numPr>
          <w:ilvl w:val="0"/>
          <w:numId w:val="7"/>
        </w:numPr>
        <w:snapToGrid w:val="0"/>
        <w:spacing w:line="360" w:lineRule="auto"/>
        <w:ind w:left="0" w:leftChars="0" w:firstLine="0" w:firstLineChars="0"/>
        <w:rPr>
          <w:rFonts w:ascii="微软雅黑" w:hAnsi="微软雅黑" w:eastAsia="微软雅黑" w:cs="仿宋_GB2312"/>
          <w:bCs/>
          <w:szCs w:val="21"/>
        </w:rPr>
      </w:pPr>
      <w:r>
        <w:rPr>
          <w:rFonts w:hint="eastAsia" w:ascii="微软雅黑" w:hAnsi="微软雅黑" w:eastAsia="微软雅黑" w:cs="仿宋_GB2312"/>
          <w:bCs/>
          <w:szCs w:val="21"/>
        </w:rPr>
        <w:t xml:space="preserve">配备接收、送检的车辆：车辆必须配备专用车载冰箱或保温箱，冰箱或保温箱必须有相应的温度记录表。 </w:t>
      </w:r>
    </w:p>
    <w:p w14:paraId="45CC4818">
      <w:pPr>
        <w:numPr>
          <w:ilvl w:val="0"/>
          <w:numId w:val="4"/>
        </w:numPr>
        <w:spacing w:line="360" w:lineRule="auto"/>
        <w:rPr>
          <w:rFonts w:ascii="微软雅黑" w:hAnsi="微软雅黑" w:eastAsia="微软雅黑" w:cs="宋体"/>
          <w:szCs w:val="21"/>
        </w:rPr>
      </w:pPr>
      <w:r>
        <w:rPr>
          <w:rFonts w:hint="eastAsia" w:ascii="微软雅黑" w:hAnsi="微软雅黑" w:eastAsia="微软雅黑" w:cs="宋体"/>
          <w:szCs w:val="21"/>
        </w:rPr>
        <w:t>提供售后服务：</w:t>
      </w:r>
    </w:p>
    <w:p w14:paraId="4D0980DD">
      <w:pPr>
        <w:pStyle w:val="26"/>
        <w:snapToGrid w:val="0"/>
        <w:spacing w:line="360" w:lineRule="auto"/>
        <w:rPr>
          <w:rFonts w:ascii="微软雅黑" w:hAnsi="微软雅黑" w:eastAsia="微软雅黑" w:cs="仿宋_GB2312"/>
          <w:bCs/>
          <w:szCs w:val="21"/>
        </w:rPr>
      </w:pPr>
      <w:r>
        <w:rPr>
          <w:rFonts w:hint="eastAsia" w:ascii="微软雅黑" w:hAnsi="微软雅黑" w:eastAsia="微软雅黑" w:cs="仿宋_GB2312"/>
          <w:bCs/>
          <w:szCs w:val="21"/>
        </w:rPr>
        <w:t>中标人需提供免费服务电话、网络查询、微信查询等多种渠道供采购人相关临床部门进行业务咨询、报告查询、账单查询统计功能。制定完善制定和流程保障上门服务，并派驻具有医学检验背景的专业人员提供上门售后服务。</w:t>
      </w:r>
    </w:p>
    <w:p w14:paraId="3D686731">
      <w:pPr>
        <w:numPr>
          <w:ilvl w:val="0"/>
          <w:numId w:val="4"/>
        </w:numPr>
        <w:spacing w:line="360" w:lineRule="auto"/>
        <w:rPr>
          <w:rFonts w:hint="eastAsia" w:ascii="微软雅黑" w:hAnsi="微软雅黑" w:eastAsia="微软雅黑" w:cs="宋体"/>
          <w:szCs w:val="21"/>
          <w:lang w:val="en-US" w:eastAsia="zh-CN"/>
        </w:rPr>
      </w:pPr>
      <w:r>
        <w:rPr>
          <w:rFonts w:hint="eastAsia" w:ascii="微软雅黑" w:hAnsi="微软雅黑" w:eastAsia="微软雅黑" w:cs="宋体"/>
          <w:szCs w:val="21"/>
          <w:lang w:val="en-US" w:eastAsia="zh-CN"/>
        </w:rPr>
        <w:t>质量要求：</w:t>
      </w:r>
    </w:p>
    <w:p w14:paraId="5833A746">
      <w:pPr>
        <w:pStyle w:val="26"/>
        <w:snapToGrid w:val="0"/>
        <w:spacing w:line="360" w:lineRule="auto"/>
        <w:rPr>
          <w:rFonts w:hint="eastAsia" w:ascii="微软雅黑" w:hAnsi="微软雅黑" w:eastAsia="微软雅黑" w:cs="仿宋_GB2312"/>
          <w:bCs/>
          <w:szCs w:val="21"/>
        </w:rPr>
      </w:pPr>
      <w:r>
        <w:rPr>
          <w:rFonts w:hint="eastAsia" w:ascii="微软雅黑" w:hAnsi="微软雅黑" w:eastAsia="微软雅黑" w:cs="仿宋_GB2312"/>
          <w:bCs/>
          <w:szCs w:val="21"/>
          <w:lang w:val="en-US" w:eastAsia="zh-CN"/>
        </w:rPr>
        <w:t xml:space="preserve"> 投标实验室</w:t>
      </w:r>
      <w:r>
        <w:rPr>
          <w:rFonts w:hint="eastAsia" w:ascii="微软雅黑" w:hAnsi="微软雅黑" w:eastAsia="微软雅黑" w:cs="仿宋_GB2312"/>
          <w:bCs/>
          <w:szCs w:val="21"/>
        </w:rPr>
        <w:t>应依据相关法律法规和行业标准，制定详细的检测标准和操作规程</w:t>
      </w:r>
      <w:r>
        <w:rPr>
          <w:rFonts w:hint="eastAsia" w:ascii="微软雅黑" w:hAnsi="微软雅黑" w:eastAsia="微软雅黑" w:cs="仿宋_GB2312"/>
          <w:bCs/>
          <w:szCs w:val="21"/>
          <w:lang w:eastAsia="zh-CN"/>
        </w:rPr>
        <w:t>，</w:t>
      </w:r>
      <w:r>
        <w:rPr>
          <w:rFonts w:hint="eastAsia" w:ascii="微软雅黑" w:hAnsi="微软雅黑" w:eastAsia="微软雅黑" w:cs="仿宋_GB2312"/>
          <w:bCs/>
          <w:szCs w:val="21"/>
        </w:rPr>
        <w:t>确保检测过程的规范化和标准化</w:t>
      </w:r>
      <w:r>
        <w:rPr>
          <w:rFonts w:hint="eastAsia" w:ascii="微软雅黑" w:hAnsi="微软雅黑" w:eastAsia="微软雅黑" w:cs="仿宋_GB2312"/>
          <w:bCs/>
          <w:szCs w:val="21"/>
          <w:lang w:eastAsia="zh-CN"/>
        </w:rPr>
        <w:t>及</w:t>
      </w:r>
      <w:r>
        <w:rPr>
          <w:rFonts w:hint="eastAsia" w:ascii="微软雅黑" w:hAnsi="微软雅黑" w:eastAsia="微软雅黑" w:cs="仿宋_GB2312"/>
          <w:bCs/>
          <w:szCs w:val="21"/>
        </w:rPr>
        <w:t>检测结果的准确性和可靠性。</w:t>
      </w:r>
    </w:p>
    <w:p w14:paraId="71D16E2D">
      <w:pPr>
        <w:pStyle w:val="26"/>
        <w:snapToGrid w:val="0"/>
        <w:spacing w:line="360" w:lineRule="auto"/>
        <w:rPr>
          <w:rFonts w:hint="eastAsia" w:ascii="微软雅黑" w:hAnsi="微软雅黑" w:eastAsia="微软雅黑" w:cs="仿宋_GB2312"/>
          <w:bCs/>
          <w:szCs w:val="21"/>
          <w:lang w:eastAsia="zh-CN"/>
        </w:rPr>
      </w:pPr>
      <w:r>
        <w:rPr>
          <w:rFonts w:hint="eastAsia" w:ascii="微软雅黑" w:hAnsi="微软雅黑" w:eastAsia="微软雅黑" w:cs="仿宋_GB2312"/>
          <w:bCs/>
          <w:szCs w:val="21"/>
          <w:lang w:val="en-US" w:eastAsia="zh-CN"/>
        </w:rPr>
        <w:t xml:space="preserve"> 投标</w:t>
      </w:r>
      <w:r>
        <w:rPr>
          <w:rFonts w:hint="eastAsia" w:ascii="微软雅黑" w:hAnsi="微软雅黑" w:eastAsia="微软雅黑" w:cs="仿宋_GB2312"/>
          <w:bCs/>
          <w:szCs w:val="21"/>
        </w:rPr>
        <w:t>实验室具有完善的质量管理体系，每</w:t>
      </w:r>
      <w:r>
        <w:rPr>
          <w:rFonts w:hint="eastAsia" w:ascii="微软雅黑" w:hAnsi="微软雅黑" w:eastAsia="微软雅黑" w:cs="仿宋_GB2312"/>
          <w:bCs/>
          <w:szCs w:val="21"/>
          <w:lang w:eastAsia="zh-CN"/>
        </w:rPr>
        <w:t>批次</w:t>
      </w:r>
      <w:r>
        <w:rPr>
          <w:rFonts w:hint="eastAsia" w:ascii="微软雅黑" w:hAnsi="微软雅黑" w:eastAsia="微软雅黑" w:cs="仿宋_GB2312"/>
          <w:bCs/>
          <w:szCs w:val="21"/>
        </w:rPr>
        <w:t>检测都有严格的室内质控，</w:t>
      </w:r>
      <w:r>
        <w:rPr>
          <w:rFonts w:hint="eastAsia" w:ascii="微软雅黑" w:hAnsi="微软雅黑" w:eastAsia="微软雅黑" w:cs="仿宋_GB2312"/>
          <w:bCs/>
          <w:szCs w:val="21"/>
          <w:lang w:eastAsia="zh-CN"/>
        </w:rPr>
        <w:t>定期向送检单位</w:t>
      </w:r>
      <w:r>
        <w:rPr>
          <w:rFonts w:hint="eastAsia" w:ascii="微软雅黑" w:hAnsi="微软雅黑" w:eastAsia="微软雅黑" w:cs="仿宋_GB2312"/>
          <w:bCs/>
          <w:szCs w:val="21"/>
        </w:rPr>
        <w:t>提供完整的实验室室内质控报告</w:t>
      </w:r>
      <w:r>
        <w:rPr>
          <w:rFonts w:hint="eastAsia" w:ascii="微软雅黑" w:hAnsi="微软雅黑" w:eastAsia="微软雅黑" w:cs="仿宋_GB2312"/>
          <w:bCs/>
          <w:szCs w:val="21"/>
          <w:lang w:eastAsia="zh-CN"/>
        </w:rPr>
        <w:t>，</w:t>
      </w:r>
      <w:r>
        <w:rPr>
          <w:rFonts w:hint="eastAsia" w:ascii="微软雅黑" w:hAnsi="微软雅黑" w:eastAsia="微软雅黑" w:cs="仿宋_GB2312"/>
          <w:bCs/>
          <w:szCs w:val="21"/>
        </w:rPr>
        <w:t>室内质控报告应当确保所有数据的真实性和可追溯性</w:t>
      </w:r>
      <w:r>
        <w:rPr>
          <w:rFonts w:hint="eastAsia" w:ascii="微软雅黑" w:hAnsi="微软雅黑" w:eastAsia="微软雅黑" w:cs="仿宋_GB2312"/>
          <w:bCs/>
          <w:szCs w:val="21"/>
          <w:lang w:eastAsia="zh-CN"/>
        </w:rPr>
        <w:t>；</w:t>
      </w:r>
      <w:r>
        <w:rPr>
          <w:rFonts w:hint="eastAsia" w:ascii="微软雅黑" w:hAnsi="微软雅黑" w:eastAsia="微软雅黑" w:cs="仿宋_GB2312"/>
          <w:bCs/>
          <w:szCs w:val="21"/>
        </w:rPr>
        <w:t>每年</w:t>
      </w:r>
      <w:r>
        <w:rPr>
          <w:rFonts w:hint="eastAsia" w:ascii="微软雅黑" w:hAnsi="微软雅黑" w:eastAsia="微软雅黑" w:cs="仿宋_GB2312"/>
          <w:bCs/>
          <w:szCs w:val="21"/>
          <w:lang w:eastAsia="zh-CN"/>
        </w:rPr>
        <w:t>必须</w:t>
      </w:r>
      <w:r>
        <w:rPr>
          <w:rFonts w:hint="eastAsia" w:ascii="微软雅黑" w:hAnsi="微软雅黑" w:eastAsia="微软雅黑" w:cs="仿宋_GB2312"/>
          <w:bCs/>
          <w:szCs w:val="21"/>
        </w:rPr>
        <w:t>参加卫生部</w:t>
      </w:r>
      <w:r>
        <w:rPr>
          <w:rFonts w:hint="eastAsia" w:ascii="微软雅黑" w:hAnsi="微软雅黑" w:eastAsia="微软雅黑" w:cs="仿宋_GB2312"/>
          <w:bCs/>
          <w:szCs w:val="21"/>
          <w:lang w:eastAsia="zh-CN"/>
        </w:rPr>
        <w:t>或广东省</w:t>
      </w:r>
      <w:r>
        <w:rPr>
          <w:rFonts w:hint="eastAsia" w:ascii="微软雅黑" w:hAnsi="微软雅黑" w:eastAsia="微软雅黑" w:cs="仿宋_GB2312"/>
          <w:bCs/>
          <w:szCs w:val="21"/>
        </w:rPr>
        <w:t>的</w:t>
      </w:r>
      <w:r>
        <w:rPr>
          <w:rFonts w:hint="eastAsia" w:ascii="微软雅黑" w:hAnsi="微软雅黑" w:eastAsia="微软雅黑" w:cs="仿宋_GB2312"/>
          <w:bCs/>
          <w:szCs w:val="21"/>
          <w:lang w:eastAsia="zh-CN"/>
        </w:rPr>
        <w:t>室间质量评价</w:t>
      </w:r>
      <w:r>
        <w:rPr>
          <w:rFonts w:hint="eastAsia" w:ascii="微软雅黑" w:hAnsi="微软雅黑" w:eastAsia="微软雅黑" w:cs="仿宋_GB2312"/>
          <w:bCs/>
          <w:szCs w:val="21"/>
        </w:rPr>
        <w:t>工作</w:t>
      </w:r>
      <w:r>
        <w:rPr>
          <w:rFonts w:hint="eastAsia" w:ascii="微软雅黑" w:hAnsi="微软雅黑" w:eastAsia="微软雅黑" w:cs="仿宋_GB2312"/>
          <w:bCs/>
          <w:szCs w:val="21"/>
          <w:lang w:eastAsia="zh-CN"/>
        </w:rPr>
        <w:t>，并向送检单位提供室间质量评价合格证书；</w:t>
      </w:r>
    </w:p>
    <w:p w14:paraId="3104FE33">
      <w:pPr>
        <w:pStyle w:val="26"/>
        <w:snapToGrid w:val="0"/>
        <w:spacing w:line="360" w:lineRule="auto"/>
        <w:rPr>
          <w:rFonts w:hint="eastAsia" w:ascii="微软雅黑" w:hAnsi="微软雅黑" w:eastAsia="微软雅黑" w:cs="仿宋_GB2312"/>
          <w:bCs/>
          <w:szCs w:val="21"/>
          <w:lang w:val="en-US" w:eastAsia="zh-CN"/>
        </w:rPr>
      </w:pPr>
      <w:r>
        <w:rPr>
          <w:rFonts w:hint="eastAsia" w:ascii="微软雅黑" w:hAnsi="微软雅黑" w:eastAsia="微软雅黑" w:cs="仿宋_GB2312"/>
          <w:bCs/>
          <w:szCs w:val="21"/>
          <w:lang w:val="en-US" w:eastAsia="zh-CN"/>
        </w:rPr>
        <w:t xml:space="preserve"> </w:t>
      </w:r>
      <w:r>
        <w:rPr>
          <w:rFonts w:hint="eastAsia" w:ascii="微软雅黑" w:hAnsi="微软雅黑" w:eastAsia="微软雅黑" w:cs="仿宋_GB2312"/>
          <w:bCs/>
          <w:szCs w:val="21"/>
        </w:rPr>
        <w:t>因投标实验室质量因素导致的医疗纠纷、事故等不良后果的，由此产生的赔偿责任由中标人承担。</w:t>
      </w:r>
    </w:p>
    <w:p w14:paraId="14209B9C">
      <w:pPr>
        <w:pStyle w:val="26"/>
        <w:snapToGrid w:val="0"/>
        <w:spacing w:line="360" w:lineRule="auto"/>
        <w:rPr>
          <w:rFonts w:hint="eastAsia" w:ascii="微软雅黑" w:hAnsi="微软雅黑" w:eastAsia="微软雅黑" w:cs="仿宋_GB2312"/>
          <w:bCs/>
          <w:szCs w:val="21"/>
          <w:lang w:val="en-US" w:eastAsia="zh-CN"/>
        </w:rPr>
      </w:pPr>
      <w:r>
        <w:rPr>
          <w:rFonts w:hint="eastAsia" w:ascii="微软雅黑" w:hAnsi="微软雅黑" w:eastAsia="微软雅黑" w:cs="仿宋_GB2312"/>
          <w:bCs/>
          <w:szCs w:val="21"/>
          <w:lang w:val="en-US" w:eastAsia="zh-CN"/>
        </w:rPr>
        <w:t>保密与信息安全</w:t>
      </w:r>
    </w:p>
    <w:p w14:paraId="1897F5B2">
      <w:pPr>
        <w:pStyle w:val="26"/>
        <w:snapToGrid w:val="0"/>
        <w:spacing w:line="360" w:lineRule="auto"/>
        <w:rPr>
          <w:rFonts w:hint="eastAsia" w:ascii="微软雅黑" w:hAnsi="微软雅黑" w:eastAsia="微软雅黑" w:cs="仿宋_GB2312"/>
          <w:bCs/>
          <w:szCs w:val="21"/>
          <w:lang w:val="en-US" w:eastAsia="zh-CN"/>
        </w:rPr>
      </w:pPr>
      <w:r>
        <w:rPr>
          <w:rFonts w:hint="eastAsia" w:ascii="微软雅黑" w:hAnsi="微软雅黑" w:eastAsia="微软雅黑" w:cs="仿宋_GB2312"/>
          <w:bCs/>
          <w:szCs w:val="21"/>
          <w:lang w:val="en-US" w:eastAsia="zh-CN"/>
        </w:rPr>
        <w:t xml:space="preserve"> 保密协议：与医院签订保密协议，确保患者信息安全和检验数据保密。</w:t>
      </w:r>
    </w:p>
    <w:p w14:paraId="6DC24FAB">
      <w:pPr>
        <w:pStyle w:val="26"/>
        <w:snapToGrid w:val="0"/>
        <w:spacing w:line="360" w:lineRule="auto"/>
        <w:rPr>
          <w:rFonts w:hint="eastAsia" w:ascii="微软雅黑" w:hAnsi="微软雅黑" w:eastAsia="微软雅黑" w:cs="仿宋_GB2312"/>
          <w:bCs/>
          <w:szCs w:val="21"/>
          <w:lang w:val="en-US" w:eastAsia="zh-CN"/>
        </w:rPr>
      </w:pPr>
      <w:r>
        <w:rPr>
          <w:rFonts w:hint="eastAsia" w:ascii="微软雅黑" w:hAnsi="微软雅黑" w:eastAsia="微软雅黑" w:cs="仿宋_GB2312"/>
          <w:bCs/>
          <w:szCs w:val="21"/>
          <w:lang w:val="en-US" w:eastAsia="zh-CN"/>
        </w:rPr>
        <w:t xml:space="preserve"> 数据安全：采取严格的数据安全措施，确保检验数据的安全性和完整性，防止信息泄露。</w:t>
      </w:r>
    </w:p>
    <w:p w14:paraId="459EF6B9">
      <w:pPr>
        <w:pStyle w:val="26"/>
        <w:snapToGrid w:val="0"/>
        <w:spacing w:line="360" w:lineRule="auto"/>
        <w:rPr>
          <w:rFonts w:hint="default" w:ascii="微软雅黑" w:hAnsi="微软雅黑" w:eastAsia="微软雅黑" w:cs="仿宋_GB2312"/>
          <w:bCs/>
          <w:szCs w:val="21"/>
          <w:lang w:val="en-US" w:eastAsia="zh-CN"/>
        </w:rPr>
      </w:pPr>
      <w:r>
        <w:rPr>
          <w:rFonts w:hint="eastAsia" w:ascii="微软雅黑" w:hAnsi="微软雅黑" w:eastAsia="微软雅黑" w:cs="仿宋_GB2312"/>
          <w:bCs/>
          <w:szCs w:val="21"/>
          <w:lang w:val="en-US" w:eastAsia="zh-CN"/>
        </w:rPr>
        <w:t xml:space="preserve"> 信息化管理：加强检验结果的信息化管理，提高数据处理和查询效率，同时确保信息安全。</w:t>
      </w:r>
    </w:p>
    <w:p w14:paraId="306B51F9">
      <w:pPr>
        <w:pStyle w:val="26"/>
        <w:snapToGrid w:val="0"/>
        <w:spacing w:line="360" w:lineRule="auto"/>
        <w:rPr>
          <w:rFonts w:hint="default" w:ascii="微软雅黑" w:hAnsi="微软雅黑" w:eastAsia="微软雅黑" w:cs="仿宋_GB2312"/>
          <w:bCs/>
          <w:szCs w:val="21"/>
          <w:lang w:val="en-US" w:eastAsia="zh-CN"/>
        </w:rPr>
      </w:pPr>
      <w:r>
        <w:rPr>
          <w:rFonts w:hint="eastAsia" w:ascii="微软雅黑" w:hAnsi="微软雅黑" w:eastAsia="微软雅黑" w:cs="仿宋_GB2312"/>
          <w:bCs/>
          <w:szCs w:val="21"/>
          <w:lang w:val="en-US" w:eastAsia="zh-CN"/>
        </w:rPr>
        <w:t xml:space="preserve"> </w:t>
      </w:r>
      <w:r>
        <w:rPr>
          <w:rFonts w:hint="eastAsia" w:ascii="微软雅黑" w:hAnsi="微软雅黑" w:eastAsia="微软雅黑" w:cs="仿宋_GB2312"/>
          <w:bCs/>
          <w:szCs w:val="21"/>
        </w:rPr>
        <w:t>因投标实验室</w:t>
      </w:r>
      <w:r>
        <w:rPr>
          <w:rFonts w:hint="eastAsia" w:ascii="微软雅黑" w:hAnsi="微软雅黑" w:eastAsia="微软雅黑" w:cs="仿宋_GB2312"/>
          <w:bCs/>
          <w:szCs w:val="21"/>
          <w:lang w:eastAsia="zh-CN"/>
        </w:rPr>
        <w:t>信息泄露导致</w:t>
      </w:r>
      <w:r>
        <w:rPr>
          <w:rFonts w:hint="eastAsia" w:ascii="微软雅黑" w:hAnsi="微软雅黑" w:eastAsia="微软雅黑" w:cs="仿宋_GB2312"/>
          <w:bCs/>
          <w:szCs w:val="21"/>
        </w:rPr>
        <w:t>医疗纠纷、事故等不良后果</w:t>
      </w:r>
      <w:r>
        <w:rPr>
          <w:rFonts w:hint="eastAsia" w:ascii="微软雅黑" w:hAnsi="微软雅黑" w:eastAsia="微软雅黑" w:cs="仿宋_GB2312"/>
          <w:bCs/>
          <w:szCs w:val="21"/>
          <w:lang w:eastAsia="zh-CN"/>
        </w:rPr>
        <w:t>的</w:t>
      </w:r>
      <w:r>
        <w:rPr>
          <w:rFonts w:hint="eastAsia" w:ascii="微软雅黑" w:hAnsi="微软雅黑" w:eastAsia="微软雅黑" w:cs="仿宋_GB2312"/>
          <w:bCs/>
          <w:szCs w:val="21"/>
        </w:rPr>
        <w:t>，由此产生的赔偿责任由中标人承担。</w:t>
      </w:r>
    </w:p>
    <w:p w14:paraId="7B3ED18D">
      <w:pPr>
        <w:pStyle w:val="26"/>
        <w:snapToGrid w:val="0"/>
        <w:spacing w:line="360" w:lineRule="auto"/>
        <w:rPr>
          <w:rFonts w:hint="eastAsia" w:ascii="微软雅黑" w:hAnsi="微软雅黑" w:eastAsia="微软雅黑" w:cs="仿宋_GB2312"/>
          <w:bCs/>
          <w:szCs w:val="21"/>
        </w:rPr>
      </w:pPr>
      <w:r>
        <w:rPr>
          <w:rFonts w:hint="eastAsia" w:ascii="微软雅黑" w:hAnsi="微软雅黑" w:eastAsia="微软雅黑" w:cs="仿宋_GB2312"/>
          <w:bCs/>
          <w:szCs w:val="21"/>
        </w:rPr>
        <w:t>三、商务要求</w:t>
      </w:r>
    </w:p>
    <w:p w14:paraId="0C9DACB8">
      <w:pPr>
        <w:pStyle w:val="26"/>
        <w:snapToGrid w:val="0"/>
        <w:spacing w:line="360" w:lineRule="auto"/>
        <w:rPr>
          <w:rFonts w:hint="eastAsia" w:ascii="微软雅黑" w:hAnsi="微软雅黑" w:eastAsia="微软雅黑" w:cs="仿宋_GB2312"/>
          <w:bCs/>
          <w:szCs w:val="21"/>
        </w:rPr>
      </w:pPr>
      <w:r>
        <w:rPr>
          <w:rFonts w:hint="eastAsia" w:ascii="微软雅黑" w:hAnsi="微软雅黑" w:eastAsia="微软雅黑" w:cs="仿宋_GB2312"/>
          <w:bCs/>
          <w:szCs w:val="21"/>
        </w:rPr>
        <w:t>1、本次项目服务期为壹年。</w:t>
      </w:r>
    </w:p>
    <w:p w14:paraId="50090BA6">
      <w:pPr>
        <w:pStyle w:val="26"/>
        <w:snapToGrid w:val="0"/>
        <w:spacing w:line="360" w:lineRule="auto"/>
        <w:rPr>
          <w:rFonts w:hint="eastAsia" w:ascii="微软雅黑" w:hAnsi="微软雅黑" w:eastAsia="微软雅黑" w:cs="仿宋_GB2312"/>
          <w:bCs/>
          <w:szCs w:val="21"/>
        </w:rPr>
      </w:pPr>
      <w:r>
        <w:rPr>
          <w:rFonts w:hint="eastAsia" w:ascii="微软雅黑" w:hAnsi="微软雅黑" w:eastAsia="微软雅黑" w:cs="仿宋_GB2312"/>
          <w:bCs/>
          <w:szCs w:val="21"/>
        </w:rPr>
        <w:t>2、报价与付款</w:t>
      </w:r>
    </w:p>
    <w:p w14:paraId="602650E6">
      <w:pPr>
        <w:pStyle w:val="26"/>
        <w:snapToGrid w:val="0"/>
        <w:spacing w:line="360" w:lineRule="auto"/>
        <w:rPr>
          <w:rFonts w:hint="eastAsia" w:ascii="微软雅黑" w:hAnsi="微软雅黑" w:eastAsia="微软雅黑" w:cs="仿宋_GB2312"/>
          <w:bCs/>
          <w:szCs w:val="21"/>
        </w:rPr>
      </w:pPr>
      <w:r>
        <w:rPr>
          <w:rFonts w:hint="eastAsia" w:ascii="微软雅黑" w:hAnsi="微软雅黑" w:eastAsia="微软雅黑" w:cs="仿宋_GB2312"/>
          <w:bCs/>
          <w:szCs w:val="21"/>
        </w:rPr>
        <w:t>投标人的投标折扣率报价</w:t>
      </w:r>
      <w:r>
        <w:rPr>
          <w:rFonts w:hint="eastAsia" w:ascii="微软雅黑" w:hAnsi="微软雅黑" w:eastAsia="微软雅黑" w:cs="仿宋_GB2312"/>
          <w:bCs/>
          <w:szCs w:val="21"/>
          <w:lang w:eastAsia="zh-CN"/>
        </w:rPr>
        <w:t>：</w:t>
      </w:r>
      <w:r>
        <w:rPr>
          <w:rFonts w:hint="eastAsia" w:ascii="微软雅黑" w:hAnsi="微软雅黑" w:eastAsia="微软雅黑" w:cs="仿宋_GB2312"/>
          <w:bCs/>
          <w:szCs w:val="21"/>
          <w:lang w:val="en-US" w:eastAsia="zh-CN"/>
        </w:rPr>
        <w:t>0</w:t>
      </w:r>
      <w:r>
        <w:rPr>
          <w:rFonts w:hint="default" w:ascii="微软雅黑" w:hAnsi="微软雅黑" w:eastAsia="微软雅黑" w:cs="仿宋_GB2312"/>
          <w:bCs/>
          <w:szCs w:val="21"/>
        </w:rPr>
        <w:t>&lt;</w:t>
      </w:r>
      <w:r>
        <w:rPr>
          <w:rFonts w:hint="eastAsia" w:ascii="微软雅黑" w:hAnsi="微软雅黑" w:eastAsia="微软雅黑" w:cs="仿宋_GB2312"/>
          <w:bCs/>
          <w:szCs w:val="21"/>
          <w:lang w:val="en-US" w:eastAsia="zh-CN"/>
        </w:rPr>
        <w:t>统一投标折扣率</w:t>
      </w:r>
      <w:r>
        <w:rPr>
          <w:rFonts w:hint="default" w:ascii="微软雅黑" w:hAnsi="微软雅黑" w:eastAsia="微软雅黑" w:cs="仿宋_GB2312"/>
          <w:bCs/>
          <w:szCs w:val="21"/>
          <w:lang w:val="en-US" w:eastAsia="zh-CN"/>
        </w:rPr>
        <w:t>≤</w:t>
      </w:r>
      <w:r>
        <w:rPr>
          <w:rFonts w:hint="eastAsia" w:ascii="微软雅黑" w:hAnsi="微软雅黑" w:eastAsia="微软雅黑" w:cs="仿宋_GB2312"/>
          <w:bCs/>
          <w:szCs w:val="21"/>
          <w:lang w:val="en-US" w:eastAsia="zh-CN"/>
        </w:rPr>
        <w:t>6</w:t>
      </w:r>
      <w:r>
        <w:rPr>
          <w:rFonts w:hint="eastAsia" w:ascii="微软雅黑" w:hAnsi="微软雅黑" w:eastAsia="微软雅黑" w:cs="仿宋_GB2312"/>
          <w:bCs/>
          <w:szCs w:val="21"/>
        </w:rPr>
        <w:t>0%。投标报价包括但不限于：完成本次招标所有服务内容的费用，包括人工费、检验费、材料费、设备使用费、各种税务费、必须的辅助材料费及合同实施过程中不可预见费用等全部费用。</w:t>
      </w:r>
    </w:p>
    <w:p w14:paraId="4926F8D6">
      <w:pPr>
        <w:pStyle w:val="26"/>
        <w:snapToGrid w:val="0"/>
        <w:spacing w:line="360" w:lineRule="auto"/>
        <w:rPr>
          <w:rFonts w:hint="eastAsia" w:ascii="微软雅黑" w:hAnsi="微软雅黑" w:eastAsia="微软雅黑" w:cs="仿宋_GB2312"/>
          <w:bCs/>
          <w:szCs w:val="21"/>
        </w:rPr>
      </w:pPr>
      <w:r>
        <w:rPr>
          <w:rFonts w:hint="eastAsia" w:ascii="微软雅黑" w:hAnsi="微软雅黑" w:eastAsia="微软雅黑" w:cs="仿宋_GB2312"/>
          <w:bCs/>
          <w:szCs w:val="21"/>
        </w:rPr>
        <w:t>★投标人必须对本包组的全部内容进行投标报价，不可有缺漏。</w:t>
      </w:r>
    </w:p>
    <w:p w14:paraId="25CBFA10">
      <w:pPr>
        <w:pStyle w:val="26"/>
        <w:snapToGrid w:val="0"/>
        <w:spacing w:line="360" w:lineRule="auto"/>
        <w:rPr>
          <w:rFonts w:hint="eastAsia" w:ascii="微软雅黑" w:hAnsi="微软雅黑" w:eastAsia="微软雅黑" w:cs="仿宋_GB2312"/>
          <w:bCs/>
          <w:szCs w:val="21"/>
          <w:lang w:eastAsia="zh-CN"/>
        </w:rPr>
        <w:sectPr>
          <w:footerReference r:id="rId3" w:type="default"/>
          <w:pgSz w:w="11906" w:h="16838"/>
          <w:pgMar w:top="1440" w:right="1800" w:bottom="1440" w:left="1800" w:header="851" w:footer="992" w:gutter="0"/>
          <w:cols w:space="425" w:num="1"/>
          <w:docGrid w:type="lines" w:linePitch="312" w:charSpace="0"/>
        </w:sectPr>
      </w:pPr>
      <w:r>
        <w:rPr>
          <w:rFonts w:hint="eastAsia" w:ascii="微软雅黑" w:hAnsi="微软雅黑" w:eastAsia="微软雅黑" w:cs="仿宋_GB2312"/>
          <w:bCs/>
          <w:szCs w:val="21"/>
        </w:rPr>
        <w:t>付款方式：双方约定每月结算壹次，中标人对标本进行检测后，每月凭检测的统计表开具相应的正式发票与采购人核对送检数量，采购人以《汕头市公立医疗机构基本医疗服务价格》核准公布的收费标准乘以折扣率后向中标人结算。（投标人实际结算价格=《汕头市公立医疗机构基本医疗服务价格》收费标准×折扣率×每月实际检测次数）</w:t>
      </w:r>
      <w:r>
        <w:rPr>
          <w:rFonts w:hint="eastAsia" w:ascii="微软雅黑" w:hAnsi="微软雅黑" w:eastAsia="微软雅黑" w:cs="仿宋_GB2312"/>
          <w:bCs/>
          <w:szCs w:val="21"/>
          <w:lang w:eastAsia="zh-CN"/>
        </w:rPr>
        <w:t>。</w:t>
      </w:r>
      <w:r>
        <w:rPr>
          <w:rFonts w:hint="eastAsia" w:ascii="微软雅黑" w:hAnsi="微软雅黑" w:eastAsia="微软雅黑" w:cs="仿宋_GB2312"/>
          <w:bCs/>
          <w:szCs w:val="21"/>
        </w:rPr>
        <w:t>《汕头市公立医疗机构基本医疗服务价格》</w:t>
      </w:r>
      <w:r>
        <w:rPr>
          <w:rFonts w:hint="eastAsia" w:ascii="微软雅黑" w:hAnsi="微软雅黑" w:eastAsia="微软雅黑" w:cs="仿宋_GB2312"/>
          <w:bCs/>
          <w:szCs w:val="21"/>
          <w:lang w:eastAsia="zh-CN"/>
        </w:rPr>
        <w:t>如在合同有效期内有调整，应及时调整，按调整新的收费标准进行核算。医共体其他分院、社区中心送检的标本，按其医院等级收费标准</w:t>
      </w:r>
      <w:r>
        <w:rPr>
          <w:rFonts w:hint="eastAsia" w:ascii="微软雅黑" w:hAnsi="微软雅黑" w:eastAsia="微软雅黑" w:cs="仿宋_GB2312"/>
          <w:bCs/>
          <w:szCs w:val="21"/>
        </w:rPr>
        <w:t>乘以折扣率后向中标人结算。</w:t>
      </w:r>
    </w:p>
    <w:p w14:paraId="6FAE7131">
      <w:pPr>
        <w:pStyle w:val="2"/>
        <w:widowControl/>
        <w:numPr>
          <w:ilvl w:val="0"/>
          <w:numId w:val="0"/>
        </w:numPr>
        <w:ind w:left="992" w:hanging="992"/>
        <w:jc w:val="both"/>
        <w:rPr>
          <w:rFonts w:ascii="微软雅黑" w:hAnsi="微软雅黑" w:eastAsia="微软雅黑" w:cs="Cambria"/>
        </w:rPr>
      </w:pPr>
      <w:r>
        <w:rPr>
          <w:rFonts w:ascii="微软雅黑" w:hAnsi="微软雅黑" w:eastAsia="微软雅黑" w:cs="宋体"/>
          <w:color w:val="000000"/>
        </w:rPr>
        <w:t>四、评分标准表</w:t>
      </w:r>
    </w:p>
    <w:p w14:paraId="2A80DB37">
      <w:pPr>
        <w:widowControl/>
        <w:spacing w:line="360" w:lineRule="auto"/>
        <w:rPr>
          <w:rFonts w:ascii="微软雅黑" w:hAnsi="微软雅黑" w:eastAsia="微软雅黑" w:cs="宋体"/>
          <w:color w:val="000000"/>
          <w:kern w:val="0"/>
          <w:sz w:val="24"/>
        </w:rPr>
      </w:pPr>
      <w:r>
        <w:rPr>
          <w:rFonts w:hint="eastAsia" w:ascii="微软雅黑" w:hAnsi="微软雅黑" w:eastAsia="微软雅黑" w:cs="宋体"/>
          <w:color w:val="000000"/>
          <w:kern w:val="0"/>
          <w:sz w:val="24"/>
        </w:rPr>
        <w:t>注：各评委按规定的范围内进行量化打分，并统计总分。</w:t>
      </w:r>
    </w:p>
    <w:tbl>
      <w:tblPr>
        <w:tblStyle w:val="13"/>
        <w:tblW w:w="940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03"/>
        <w:gridCol w:w="1512"/>
        <w:gridCol w:w="6159"/>
        <w:gridCol w:w="1028"/>
      </w:tblGrid>
      <w:tr w14:paraId="79DF671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4" w:hRule="atLeast"/>
          <w:jc w:val="center"/>
        </w:trPr>
        <w:tc>
          <w:tcPr>
            <w:tcW w:w="703" w:type="dxa"/>
            <w:tcBorders>
              <w:top w:val="single" w:color="auto" w:sz="8" w:space="0"/>
              <w:left w:val="single" w:color="auto" w:sz="8" w:space="0"/>
              <w:bottom w:val="single" w:color="auto" w:sz="8" w:space="0"/>
              <w:right w:val="single" w:color="auto" w:sz="8" w:space="0"/>
            </w:tcBorders>
            <w:vAlign w:val="center"/>
          </w:tcPr>
          <w:p w14:paraId="7D49F8D6">
            <w:pPr>
              <w:ind w:left="-78" w:leftChars="-37" w:right="-73" w:rightChars="-35"/>
              <w:jc w:val="center"/>
              <w:rPr>
                <w:rFonts w:ascii="微软雅黑" w:hAnsi="微软雅黑" w:eastAsia="微软雅黑"/>
                <w:b/>
                <w:bCs/>
                <w:szCs w:val="21"/>
              </w:rPr>
            </w:pPr>
            <w:r>
              <w:rPr>
                <w:rFonts w:hint="eastAsia" w:ascii="微软雅黑" w:hAnsi="微软雅黑" w:eastAsia="微软雅黑"/>
                <w:b/>
                <w:bCs/>
                <w:szCs w:val="21"/>
              </w:rPr>
              <w:t>序号</w:t>
            </w:r>
          </w:p>
        </w:tc>
        <w:tc>
          <w:tcPr>
            <w:tcW w:w="1512" w:type="dxa"/>
            <w:tcBorders>
              <w:top w:val="single" w:color="auto" w:sz="8" w:space="0"/>
              <w:left w:val="nil"/>
              <w:bottom w:val="single" w:color="auto" w:sz="8" w:space="0"/>
              <w:right w:val="single" w:color="auto" w:sz="8" w:space="0"/>
            </w:tcBorders>
            <w:vAlign w:val="center"/>
          </w:tcPr>
          <w:p w14:paraId="79BB788C">
            <w:pPr>
              <w:ind w:left="-78" w:leftChars="-37" w:right="-73" w:rightChars="-35"/>
              <w:jc w:val="center"/>
              <w:rPr>
                <w:rFonts w:ascii="微软雅黑" w:hAnsi="微软雅黑" w:eastAsia="微软雅黑"/>
                <w:b/>
                <w:bCs/>
                <w:szCs w:val="21"/>
              </w:rPr>
            </w:pPr>
            <w:r>
              <w:rPr>
                <w:rFonts w:hint="eastAsia" w:ascii="微软雅黑" w:hAnsi="微软雅黑" w:eastAsia="微软雅黑"/>
                <w:b/>
                <w:bCs/>
                <w:szCs w:val="21"/>
              </w:rPr>
              <w:t>评审因素</w:t>
            </w:r>
          </w:p>
        </w:tc>
        <w:tc>
          <w:tcPr>
            <w:tcW w:w="6159" w:type="dxa"/>
            <w:tcBorders>
              <w:top w:val="single" w:color="auto" w:sz="8" w:space="0"/>
              <w:left w:val="nil"/>
              <w:bottom w:val="single" w:color="auto" w:sz="8" w:space="0"/>
              <w:right w:val="single" w:color="auto" w:sz="8" w:space="0"/>
            </w:tcBorders>
            <w:vAlign w:val="center"/>
          </w:tcPr>
          <w:p w14:paraId="7C02C9B4">
            <w:pPr>
              <w:ind w:left="-78" w:leftChars="-37" w:right="-73" w:rightChars="-35"/>
              <w:jc w:val="center"/>
              <w:rPr>
                <w:rFonts w:ascii="微软雅黑" w:hAnsi="微软雅黑" w:eastAsia="微软雅黑"/>
                <w:b/>
                <w:bCs/>
                <w:szCs w:val="21"/>
              </w:rPr>
            </w:pPr>
            <w:r>
              <w:rPr>
                <w:rFonts w:hint="eastAsia" w:ascii="微软雅黑" w:hAnsi="微软雅黑" w:eastAsia="微软雅黑"/>
                <w:b/>
                <w:bCs/>
                <w:szCs w:val="21"/>
              </w:rPr>
              <w:t>评分细则</w:t>
            </w:r>
          </w:p>
        </w:tc>
        <w:tc>
          <w:tcPr>
            <w:tcW w:w="1028" w:type="dxa"/>
            <w:tcBorders>
              <w:top w:val="single" w:color="auto" w:sz="8" w:space="0"/>
              <w:left w:val="single" w:color="auto" w:sz="4" w:space="0"/>
              <w:bottom w:val="single" w:color="auto" w:sz="8" w:space="0"/>
              <w:right w:val="single" w:color="auto" w:sz="8" w:space="0"/>
            </w:tcBorders>
            <w:vAlign w:val="center"/>
          </w:tcPr>
          <w:p w14:paraId="2AC07186">
            <w:pPr>
              <w:ind w:left="-78" w:leftChars="-37" w:right="-73" w:rightChars="-35"/>
              <w:jc w:val="center"/>
              <w:rPr>
                <w:rFonts w:ascii="微软雅黑" w:hAnsi="微软雅黑" w:eastAsia="微软雅黑"/>
                <w:b/>
                <w:bCs/>
                <w:szCs w:val="21"/>
              </w:rPr>
            </w:pPr>
            <w:r>
              <w:rPr>
                <w:rFonts w:hint="eastAsia" w:ascii="微软雅黑" w:hAnsi="微软雅黑" w:eastAsia="微软雅黑"/>
                <w:b/>
                <w:bCs/>
                <w:szCs w:val="21"/>
              </w:rPr>
              <w:t>分值</w:t>
            </w:r>
          </w:p>
        </w:tc>
      </w:tr>
      <w:tr w14:paraId="314C33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4" w:hRule="atLeast"/>
          <w:jc w:val="center"/>
        </w:trPr>
        <w:tc>
          <w:tcPr>
            <w:tcW w:w="9402" w:type="dxa"/>
            <w:gridSpan w:val="4"/>
            <w:tcBorders>
              <w:top w:val="single" w:color="auto" w:sz="8" w:space="0"/>
              <w:left w:val="single" w:color="auto" w:sz="8" w:space="0"/>
              <w:bottom w:val="single" w:color="auto" w:sz="8" w:space="0"/>
              <w:right w:val="single" w:color="auto" w:sz="8" w:space="0"/>
            </w:tcBorders>
            <w:vAlign w:val="center"/>
          </w:tcPr>
          <w:p w14:paraId="2831DF68">
            <w:pPr>
              <w:ind w:left="-78" w:leftChars="-37" w:right="-73" w:rightChars="-35"/>
              <w:jc w:val="center"/>
              <w:rPr>
                <w:rFonts w:hint="eastAsia" w:ascii="微软雅黑" w:hAnsi="微软雅黑" w:eastAsia="微软雅黑"/>
                <w:b/>
                <w:bCs/>
                <w:szCs w:val="21"/>
                <w:lang w:eastAsia="zh-CN"/>
              </w:rPr>
            </w:pPr>
            <w:r>
              <w:rPr>
                <w:rFonts w:hint="eastAsia" w:ascii="微软雅黑" w:hAnsi="微软雅黑" w:eastAsia="微软雅黑"/>
                <w:b/>
                <w:bCs/>
                <w:szCs w:val="21"/>
                <w:lang w:eastAsia="zh-CN"/>
              </w:rPr>
              <w:t>资格要求（</w:t>
            </w:r>
            <w:r>
              <w:rPr>
                <w:rFonts w:hint="eastAsia" w:ascii="微软雅黑" w:hAnsi="微软雅黑" w:eastAsia="微软雅黑"/>
                <w:b/>
                <w:bCs/>
                <w:szCs w:val="21"/>
                <w:lang w:val="en-US" w:eastAsia="zh-CN"/>
              </w:rPr>
              <w:t>10分</w:t>
            </w:r>
            <w:r>
              <w:rPr>
                <w:rFonts w:hint="eastAsia" w:ascii="微软雅黑" w:hAnsi="微软雅黑" w:eastAsia="微软雅黑"/>
                <w:b/>
                <w:bCs/>
                <w:szCs w:val="21"/>
                <w:lang w:eastAsia="zh-CN"/>
              </w:rPr>
              <w:t>）</w:t>
            </w:r>
          </w:p>
        </w:tc>
      </w:tr>
      <w:tr w14:paraId="207BF3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4" w:hRule="atLeast"/>
          <w:jc w:val="center"/>
        </w:trPr>
        <w:tc>
          <w:tcPr>
            <w:tcW w:w="703" w:type="dxa"/>
            <w:tcBorders>
              <w:top w:val="single" w:color="auto" w:sz="8" w:space="0"/>
              <w:left w:val="single" w:color="auto" w:sz="8" w:space="0"/>
              <w:bottom w:val="single" w:color="auto" w:sz="8" w:space="0"/>
              <w:right w:val="single" w:color="auto" w:sz="8" w:space="0"/>
            </w:tcBorders>
            <w:vAlign w:val="center"/>
          </w:tcPr>
          <w:p w14:paraId="7D6F1448">
            <w:pPr>
              <w:widowControl/>
              <w:numPr>
                <w:ilvl w:val="0"/>
                <w:numId w:val="8"/>
              </w:numPr>
              <w:adjustRightInd w:val="0"/>
              <w:snapToGrid w:val="0"/>
              <w:jc w:val="right"/>
              <w:rPr>
                <w:rFonts w:hint="default" w:ascii="微软雅黑" w:hAnsi="微软雅黑" w:eastAsia="微软雅黑"/>
                <w:b w:val="0"/>
                <w:bCs w:val="0"/>
                <w:szCs w:val="21"/>
                <w:lang w:val="en-US" w:eastAsia="zh-CN"/>
              </w:rPr>
            </w:pPr>
          </w:p>
        </w:tc>
        <w:tc>
          <w:tcPr>
            <w:tcW w:w="1512" w:type="dxa"/>
            <w:tcBorders>
              <w:top w:val="single" w:color="auto" w:sz="8" w:space="0"/>
              <w:left w:val="nil"/>
              <w:bottom w:val="single" w:color="auto" w:sz="8" w:space="0"/>
              <w:right w:val="single" w:color="auto" w:sz="8" w:space="0"/>
            </w:tcBorders>
            <w:vAlign w:val="center"/>
          </w:tcPr>
          <w:p w14:paraId="101951F6">
            <w:pPr>
              <w:ind w:left="-78" w:leftChars="-37" w:right="-73" w:rightChars="-35"/>
              <w:jc w:val="center"/>
              <w:rPr>
                <w:rFonts w:hint="eastAsia" w:ascii="微软雅黑" w:hAnsi="微软雅黑" w:eastAsia="微软雅黑"/>
                <w:b/>
                <w:bCs/>
                <w:szCs w:val="21"/>
                <w:lang w:eastAsia="zh-CN"/>
              </w:rPr>
            </w:pPr>
            <w:r>
              <w:rPr>
                <w:rFonts w:hint="eastAsia" w:ascii="微软雅黑" w:hAnsi="微软雅黑" w:eastAsia="微软雅黑"/>
                <w:color w:val="000000"/>
                <w:szCs w:val="21"/>
                <w:lang w:eastAsia="zh-CN"/>
              </w:rPr>
              <w:t>执业许可</w:t>
            </w:r>
          </w:p>
        </w:tc>
        <w:tc>
          <w:tcPr>
            <w:tcW w:w="6159" w:type="dxa"/>
            <w:tcBorders>
              <w:top w:val="single" w:color="auto" w:sz="8" w:space="0"/>
              <w:left w:val="nil"/>
              <w:bottom w:val="single" w:color="auto" w:sz="8" w:space="0"/>
              <w:right w:val="single" w:color="auto" w:sz="8" w:space="0"/>
            </w:tcBorders>
            <w:vAlign w:val="center"/>
          </w:tcPr>
          <w:p w14:paraId="7EDD0F73">
            <w:pPr>
              <w:widowControl/>
              <w:wordWrap w:val="0"/>
              <w:adjustRightInd w:val="0"/>
              <w:snapToGrid w:val="0"/>
              <w:jc w:val="left"/>
              <w:rPr>
                <w:rFonts w:hint="eastAsia" w:ascii="微软雅黑" w:hAnsi="微软雅黑" w:eastAsia="微软雅黑"/>
                <w:color w:val="000000"/>
                <w:kern w:val="0"/>
                <w:szCs w:val="21"/>
              </w:rPr>
            </w:pPr>
            <w:r>
              <w:rPr>
                <w:rFonts w:hint="eastAsia" w:ascii="微软雅黑" w:hAnsi="微软雅黑" w:eastAsia="微软雅黑"/>
                <w:color w:val="000000"/>
                <w:kern w:val="0"/>
                <w:szCs w:val="21"/>
              </w:rPr>
              <w:t>具有卫生部门核发且在有效期内的《医疗机构执业许可证》诊疗科目包含“医学检验科”</w:t>
            </w:r>
            <w:r>
              <w:rPr>
                <w:rFonts w:hint="eastAsia" w:ascii="微软雅黑" w:hAnsi="微软雅黑" w:eastAsia="微软雅黑"/>
                <w:color w:val="000000"/>
                <w:kern w:val="0"/>
                <w:szCs w:val="21"/>
                <w:lang w:eastAsia="zh-CN"/>
              </w:rPr>
              <w:t>“病理科”，执业范围应包括临床体液血液专业、临床化学检验专业、临床免疫学专业、临床微生物学专业、临床细胞分子遗传学专业、病理学专业等。</w:t>
            </w:r>
          </w:p>
        </w:tc>
        <w:tc>
          <w:tcPr>
            <w:tcW w:w="1028" w:type="dxa"/>
            <w:tcBorders>
              <w:top w:val="single" w:color="auto" w:sz="8" w:space="0"/>
              <w:left w:val="single" w:color="auto" w:sz="4" w:space="0"/>
              <w:bottom w:val="single" w:color="auto" w:sz="8" w:space="0"/>
              <w:right w:val="single" w:color="auto" w:sz="8" w:space="0"/>
            </w:tcBorders>
            <w:vAlign w:val="center"/>
          </w:tcPr>
          <w:p w14:paraId="24CB51DD">
            <w:pPr>
              <w:jc w:val="center"/>
              <w:rPr>
                <w:rFonts w:hint="default" w:ascii="微软雅黑" w:hAnsi="微软雅黑" w:eastAsia="微软雅黑"/>
                <w:color w:val="000000"/>
                <w:szCs w:val="21"/>
                <w:lang w:val="en-US" w:eastAsia="zh-CN"/>
              </w:rPr>
            </w:pPr>
            <w:r>
              <w:rPr>
                <w:rFonts w:hint="eastAsia" w:ascii="微软雅黑" w:hAnsi="微软雅黑" w:eastAsia="微软雅黑"/>
                <w:color w:val="000000"/>
                <w:szCs w:val="21"/>
                <w:lang w:val="en-US" w:eastAsia="zh-CN"/>
              </w:rPr>
              <w:t>7</w:t>
            </w:r>
          </w:p>
        </w:tc>
      </w:tr>
      <w:tr w14:paraId="35C691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4" w:hRule="atLeast"/>
          <w:jc w:val="center"/>
        </w:trPr>
        <w:tc>
          <w:tcPr>
            <w:tcW w:w="703" w:type="dxa"/>
            <w:tcBorders>
              <w:top w:val="single" w:color="auto" w:sz="8" w:space="0"/>
              <w:left w:val="single" w:color="auto" w:sz="8" w:space="0"/>
              <w:bottom w:val="single" w:color="auto" w:sz="8" w:space="0"/>
              <w:right w:val="single" w:color="auto" w:sz="8" w:space="0"/>
            </w:tcBorders>
            <w:vAlign w:val="center"/>
          </w:tcPr>
          <w:p w14:paraId="2B81CCB9">
            <w:pPr>
              <w:widowControl/>
              <w:numPr>
                <w:ilvl w:val="0"/>
                <w:numId w:val="8"/>
              </w:numPr>
              <w:adjustRightInd w:val="0"/>
              <w:snapToGrid w:val="0"/>
              <w:jc w:val="right"/>
              <w:rPr>
                <w:rFonts w:hint="default" w:ascii="微软雅黑" w:hAnsi="微软雅黑" w:eastAsia="微软雅黑"/>
                <w:color w:val="000000"/>
                <w:szCs w:val="21"/>
                <w:lang w:val="en-US" w:eastAsia="zh-CN"/>
              </w:rPr>
            </w:pPr>
          </w:p>
        </w:tc>
        <w:tc>
          <w:tcPr>
            <w:tcW w:w="1512" w:type="dxa"/>
            <w:tcBorders>
              <w:top w:val="single" w:color="auto" w:sz="8" w:space="0"/>
              <w:left w:val="nil"/>
              <w:bottom w:val="single" w:color="auto" w:sz="8" w:space="0"/>
              <w:right w:val="single" w:color="auto" w:sz="8" w:space="0"/>
            </w:tcBorders>
            <w:vAlign w:val="center"/>
          </w:tcPr>
          <w:p w14:paraId="7D878C5E">
            <w:pPr>
              <w:ind w:left="-78" w:leftChars="-37" w:right="-73" w:rightChars="-35"/>
              <w:jc w:val="center"/>
              <w:rPr>
                <w:rFonts w:hint="eastAsia" w:ascii="微软雅黑" w:hAnsi="微软雅黑" w:eastAsia="微软雅黑"/>
                <w:b/>
                <w:bCs/>
                <w:szCs w:val="21"/>
                <w:lang w:eastAsia="zh-CN"/>
              </w:rPr>
            </w:pPr>
            <w:r>
              <w:rPr>
                <w:rFonts w:hint="eastAsia" w:ascii="微软雅黑" w:hAnsi="微软雅黑" w:eastAsia="微软雅黑"/>
                <w:color w:val="000000"/>
                <w:szCs w:val="21"/>
                <w:lang w:eastAsia="zh-CN"/>
              </w:rPr>
              <w:t>认证资格</w:t>
            </w:r>
          </w:p>
        </w:tc>
        <w:tc>
          <w:tcPr>
            <w:tcW w:w="6159" w:type="dxa"/>
            <w:tcBorders>
              <w:top w:val="single" w:color="auto" w:sz="8" w:space="0"/>
              <w:left w:val="nil"/>
              <w:bottom w:val="single" w:color="auto" w:sz="8" w:space="0"/>
              <w:right w:val="single" w:color="auto" w:sz="8" w:space="0"/>
            </w:tcBorders>
            <w:vAlign w:val="center"/>
          </w:tcPr>
          <w:p w14:paraId="4614B209">
            <w:pPr>
              <w:widowControl/>
              <w:wordWrap w:val="0"/>
              <w:adjustRightInd w:val="0"/>
              <w:snapToGrid w:val="0"/>
              <w:jc w:val="left"/>
              <w:rPr>
                <w:rFonts w:hint="eastAsia" w:ascii="微软雅黑" w:hAnsi="微软雅黑" w:eastAsia="微软雅黑"/>
                <w:b/>
                <w:bCs/>
                <w:szCs w:val="21"/>
              </w:rPr>
            </w:pPr>
            <w:r>
              <w:rPr>
                <w:rFonts w:hint="eastAsia" w:ascii="微软雅黑" w:hAnsi="微软雅黑" w:eastAsia="微软雅黑"/>
                <w:color w:val="000000"/>
                <w:kern w:val="0"/>
                <w:szCs w:val="21"/>
                <w:lang w:eastAsia="zh-CN"/>
              </w:rPr>
              <w:t>通过</w:t>
            </w:r>
            <w:r>
              <w:rPr>
                <w:rFonts w:hint="eastAsia" w:ascii="微软雅黑" w:hAnsi="微软雅黑" w:eastAsia="微软雅黑"/>
                <w:color w:val="000000"/>
                <w:kern w:val="0"/>
                <w:szCs w:val="21"/>
                <w:lang w:val="en-US" w:eastAsia="zh-CN"/>
              </w:rPr>
              <w:t>ISO15189实验室认证、CMA（中国计量认证）、CNAS（中国合格评定国家认可委员会认证）</w:t>
            </w:r>
          </w:p>
        </w:tc>
        <w:tc>
          <w:tcPr>
            <w:tcW w:w="1028" w:type="dxa"/>
            <w:tcBorders>
              <w:top w:val="single" w:color="auto" w:sz="8" w:space="0"/>
              <w:left w:val="single" w:color="auto" w:sz="4" w:space="0"/>
              <w:bottom w:val="single" w:color="auto" w:sz="8" w:space="0"/>
              <w:right w:val="single" w:color="auto" w:sz="8" w:space="0"/>
            </w:tcBorders>
            <w:vAlign w:val="center"/>
          </w:tcPr>
          <w:p w14:paraId="50B32C42">
            <w:pPr>
              <w:jc w:val="center"/>
              <w:rPr>
                <w:rFonts w:hint="eastAsia" w:ascii="微软雅黑" w:hAnsi="微软雅黑" w:eastAsia="微软雅黑"/>
                <w:color w:val="000000"/>
                <w:szCs w:val="21"/>
                <w:lang w:val="en-US" w:eastAsia="zh-CN"/>
              </w:rPr>
            </w:pPr>
            <w:r>
              <w:rPr>
                <w:rFonts w:hint="eastAsia" w:ascii="微软雅黑" w:hAnsi="微软雅黑" w:eastAsia="微软雅黑"/>
                <w:color w:val="000000"/>
                <w:szCs w:val="21"/>
                <w:lang w:val="en-US" w:eastAsia="zh-CN"/>
              </w:rPr>
              <w:t>3</w:t>
            </w:r>
          </w:p>
        </w:tc>
      </w:tr>
      <w:tr w14:paraId="4D46D0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9402" w:type="dxa"/>
            <w:gridSpan w:val="4"/>
            <w:tcBorders>
              <w:top w:val="single" w:color="auto" w:sz="8" w:space="0"/>
              <w:left w:val="single" w:color="auto" w:sz="8" w:space="0"/>
              <w:bottom w:val="single" w:color="auto" w:sz="8" w:space="0"/>
              <w:right w:val="single" w:color="auto" w:sz="8" w:space="0"/>
            </w:tcBorders>
            <w:vAlign w:val="center"/>
          </w:tcPr>
          <w:p w14:paraId="0B4AF781">
            <w:pPr>
              <w:ind w:left="-78" w:leftChars="-37" w:right="-73" w:rightChars="-35"/>
              <w:jc w:val="center"/>
              <w:rPr>
                <w:rFonts w:ascii="微软雅黑" w:hAnsi="微软雅黑" w:eastAsia="微软雅黑"/>
                <w:b/>
                <w:bCs/>
                <w:szCs w:val="21"/>
              </w:rPr>
            </w:pPr>
            <w:r>
              <w:rPr>
                <w:rFonts w:hint="eastAsia" w:ascii="微软雅黑" w:hAnsi="微软雅黑" w:eastAsia="微软雅黑"/>
                <w:b/>
                <w:bCs/>
                <w:szCs w:val="21"/>
              </w:rPr>
              <w:t>技术部分（满分</w:t>
            </w:r>
            <w:r>
              <w:rPr>
                <w:rFonts w:hint="eastAsia" w:ascii="微软雅黑" w:hAnsi="微软雅黑" w:eastAsia="微软雅黑"/>
                <w:b/>
                <w:bCs/>
                <w:szCs w:val="21"/>
                <w:lang w:val="en-US" w:eastAsia="zh-CN"/>
              </w:rPr>
              <w:t>50</w:t>
            </w:r>
            <w:r>
              <w:rPr>
                <w:rFonts w:hint="eastAsia" w:ascii="微软雅黑" w:hAnsi="微软雅黑" w:eastAsia="微软雅黑"/>
                <w:b/>
                <w:bCs/>
                <w:szCs w:val="21"/>
              </w:rPr>
              <w:t>分）</w:t>
            </w:r>
          </w:p>
        </w:tc>
      </w:tr>
      <w:tr w14:paraId="691405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96" w:hRule="atLeast"/>
          <w:jc w:val="center"/>
        </w:trPr>
        <w:tc>
          <w:tcPr>
            <w:tcW w:w="703" w:type="dxa"/>
            <w:tcBorders>
              <w:top w:val="single" w:color="auto" w:sz="8" w:space="0"/>
              <w:left w:val="single" w:color="auto" w:sz="8" w:space="0"/>
              <w:bottom w:val="single" w:color="auto" w:sz="4" w:space="0"/>
              <w:right w:val="single" w:color="auto" w:sz="8" w:space="0"/>
            </w:tcBorders>
            <w:vAlign w:val="center"/>
          </w:tcPr>
          <w:p w14:paraId="684ABD84">
            <w:pPr>
              <w:widowControl/>
              <w:numPr>
                <w:ilvl w:val="0"/>
                <w:numId w:val="8"/>
              </w:numPr>
              <w:adjustRightInd w:val="0"/>
              <w:snapToGrid w:val="0"/>
              <w:jc w:val="right"/>
              <w:rPr>
                <w:rFonts w:ascii="微软雅黑" w:hAnsi="微软雅黑" w:eastAsia="微软雅黑"/>
                <w:color w:val="000000" w:themeColor="text1"/>
                <w:szCs w:val="21"/>
                <w14:textFill>
                  <w14:solidFill>
                    <w14:schemeClr w14:val="tx1"/>
                  </w14:solidFill>
                </w14:textFill>
              </w:rPr>
            </w:pPr>
          </w:p>
        </w:tc>
        <w:tc>
          <w:tcPr>
            <w:tcW w:w="1512" w:type="dxa"/>
            <w:tcBorders>
              <w:top w:val="single" w:color="auto" w:sz="8" w:space="0"/>
              <w:left w:val="nil"/>
              <w:bottom w:val="single" w:color="auto" w:sz="8" w:space="0"/>
              <w:right w:val="single" w:color="auto" w:sz="8" w:space="0"/>
            </w:tcBorders>
            <w:vAlign w:val="center"/>
          </w:tcPr>
          <w:p w14:paraId="24FF972A">
            <w:pPr>
              <w:jc w:val="center"/>
              <w:rPr>
                <w:rFonts w:ascii="微软雅黑" w:hAnsi="微软雅黑" w:eastAsia="微软雅黑"/>
                <w:color w:val="000000"/>
                <w:szCs w:val="21"/>
              </w:rPr>
            </w:pPr>
            <w:r>
              <w:rPr>
                <w:rFonts w:hint="eastAsia" w:ascii="微软雅黑" w:hAnsi="微软雅黑" w:eastAsia="微软雅黑"/>
                <w:color w:val="000000"/>
                <w:szCs w:val="21"/>
              </w:rPr>
              <w:t>服务团队</w:t>
            </w:r>
          </w:p>
        </w:tc>
        <w:tc>
          <w:tcPr>
            <w:tcW w:w="6159" w:type="dxa"/>
            <w:tcBorders>
              <w:top w:val="single" w:color="auto" w:sz="8" w:space="0"/>
              <w:left w:val="nil"/>
              <w:bottom w:val="single" w:color="auto" w:sz="8" w:space="0"/>
              <w:right w:val="single" w:color="auto" w:sz="8" w:space="0"/>
            </w:tcBorders>
            <w:vAlign w:val="center"/>
          </w:tcPr>
          <w:p w14:paraId="503A41D8">
            <w:pPr>
              <w:widowControl/>
              <w:wordWrap w:val="0"/>
              <w:adjustRightInd w:val="0"/>
              <w:snapToGrid w:val="0"/>
              <w:jc w:val="left"/>
              <w:rPr>
                <w:rFonts w:ascii="微软雅黑" w:hAnsi="微软雅黑" w:eastAsia="微软雅黑"/>
                <w:color w:val="000000"/>
                <w:kern w:val="0"/>
                <w:szCs w:val="21"/>
              </w:rPr>
            </w:pPr>
            <w:r>
              <w:rPr>
                <w:rFonts w:hint="eastAsia" w:ascii="微软雅黑" w:hAnsi="微软雅黑" w:eastAsia="微软雅黑"/>
                <w:color w:val="000000"/>
                <w:kern w:val="0"/>
                <w:szCs w:val="21"/>
              </w:rPr>
              <w:t>1、</w:t>
            </w:r>
            <w:r>
              <w:rPr>
                <w:rFonts w:hint="eastAsia" w:ascii="微软雅黑" w:hAnsi="微软雅黑" w:eastAsia="微软雅黑"/>
                <w:color w:val="000000"/>
                <w:kern w:val="0"/>
                <w:szCs w:val="21"/>
                <w:lang w:eastAsia="zh-CN"/>
              </w:rPr>
              <w:t>医学检验</w:t>
            </w:r>
            <w:r>
              <w:rPr>
                <w:rFonts w:hint="eastAsia" w:ascii="微软雅黑" w:hAnsi="微软雅黑" w:eastAsia="微软雅黑"/>
                <w:color w:val="000000"/>
                <w:kern w:val="0"/>
                <w:szCs w:val="21"/>
              </w:rPr>
              <w:t>的项目组人员至少</w:t>
            </w:r>
            <w:r>
              <w:rPr>
                <w:rFonts w:hint="eastAsia" w:ascii="微软雅黑" w:hAnsi="微软雅黑" w:eastAsia="微软雅黑"/>
                <w:color w:val="000000"/>
                <w:kern w:val="0"/>
                <w:szCs w:val="21"/>
                <w:lang w:eastAsia="zh-CN"/>
              </w:rPr>
              <w:t>应有</w:t>
            </w:r>
            <w:r>
              <w:rPr>
                <w:rFonts w:ascii="微软雅黑" w:hAnsi="微软雅黑" w:eastAsia="微软雅黑"/>
                <w:color w:val="000000"/>
                <w:kern w:val="0"/>
                <w:szCs w:val="21"/>
              </w:rPr>
              <w:t>10</w:t>
            </w:r>
            <w:r>
              <w:rPr>
                <w:rFonts w:hint="eastAsia" w:ascii="微软雅黑" w:hAnsi="微软雅黑" w:eastAsia="微软雅黑"/>
                <w:color w:val="000000"/>
                <w:kern w:val="0"/>
                <w:szCs w:val="21"/>
              </w:rPr>
              <w:t>人</w:t>
            </w:r>
            <w:r>
              <w:rPr>
                <w:rFonts w:hint="eastAsia" w:ascii="微软雅黑" w:hAnsi="微软雅黑" w:eastAsia="微软雅黑"/>
                <w:color w:val="000000"/>
                <w:kern w:val="0"/>
                <w:szCs w:val="21"/>
                <w:lang w:eastAsia="zh-CN"/>
              </w:rPr>
              <w:t>以上，</w:t>
            </w:r>
            <w:r>
              <w:rPr>
                <w:rFonts w:hint="eastAsia" w:ascii="微软雅黑" w:hAnsi="微软雅黑" w:eastAsia="微软雅黑"/>
                <w:color w:val="000000"/>
                <w:kern w:val="0"/>
                <w:szCs w:val="21"/>
              </w:rPr>
              <w:t>具备</w:t>
            </w:r>
            <w:r>
              <w:rPr>
                <w:rFonts w:hint="eastAsia" w:ascii="微软雅黑" w:hAnsi="微软雅黑" w:eastAsia="微软雅黑"/>
                <w:color w:val="000000"/>
                <w:kern w:val="0"/>
                <w:szCs w:val="21"/>
                <w:lang w:eastAsia="zh-CN"/>
              </w:rPr>
              <w:t>副主任技师以上人员至少</w:t>
            </w:r>
            <w:r>
              <w:rPr>
                <w:rFonts w:hint="eastAsia" w:ascii="微软雅黑" w:hAnsi="微软雅黑" w:eastAsia="微软雅黑"/>
                <w:color w:val="000000"/>
                <w:kern w:val="0"/>
                <w:szCs w:val="21"/>
                <w:lang w:val="en-US" w:eastAsia="zh-CN"/>
              </w:rPr>
              <w:t>2人，初</w:t>
            </w:r>
            <w:r>
              <w:rPr>
                <w:rFonts w:hint="eastAsia" w:ascii="微软雅黑" w:hAnsi="微软雅黑" w:eastAsia="微软雅黑"/>
                <w:color w:val="000000"/>
                <w:kern w:val="0"/>
                <w:szCs w:val="21"/>
              </w:rPr>
              <w:t>中级检验技师职称</w:t>
            </w:r>
            <w:r>
              <w:rPr>
                <w:rFonts w:hint="eastAsia" w:ascii="微软雅黑" w:hAnsi="微软雅黑" w:eastAsia="微软雅黑"/>
                <w:color w:val="000000"/>
                <w:kern w:val="0"/>
                <w:szCs w:val="21"/>
                <w:lang w:val="en-US" w:eastAsia="zh-CN"/>
              </w:rPr>
              <w:t>8人以上（其中中级检验技师至少5人）</w:t>
            </w:r>
            <w:r>
              <w:rPr>
                <w:rFonts w:hint="eastAsia" w:ascii="微软雅黑" w:hAnsi="微软雅黑" w:eastAsia="微软雅黑"/>
                <w:color w:val="000000"/>
                <w:kern w:val="0"/>
                <w:szCs w:val="21"/>
              </w:rPr>
              <w:t>，</w:t>
            </w:r>
            <w:r>
              <w:rPr>
                <w:rFonts w:hint="eastAsia" w:ascii="微软雅黑" w:hAnsi="微软雅黑" w:eastAsia="微软雅黑"/>
                <w:color w:val="000000"/>
                <w:kern w:val="0"/>
                <w:szCs w:val="21"/>
                <w:lang w:eastAsia="zh-CN"/>
              </w:rPr>
              <w:t>符合条件</w:t>
            </w:r>
            <w:r>
              <w:rPr>
                <w:rFonts w:hint="eastAsia" w:ascii="微软雅黑" w:hAnsi="微软雅黑" w:eastAsia="微软雅黑"/>
                <w:color w:val="000000"/>
                <w:kern w:val="0"/>
                <w:szCs w:val="21"/>
              </w:rPr>
              <w:t xml:space="preserve">得 </w:t>
            </w:r>
            <w:r>
              <w:rPr>
                <w:rFonts w:ascii="微软雅黑" w:hAnsi="微软雅黑" w:eastAsia="微软雅黑"/>
                <w:color w:val="000000"/>
                <w:kern w:val="0"/>
                <w:szCs w:val="21"/>
              </w:rPr>
              <w:t>5</w:t>
            </w:r>
            <w:r>
              <w:rPr>
                <w:rFonts w:hint="eastAsia" w:ascii="微软雅黑" w:hAnsi="微软雅黑" w:eastAsia="微软雅黑"/>
                <w:color w:val="000000"/>
                <w:kern w:val="0"/>
                <w:szCs w:val="21"/>
              </w:rPr>
              <w:t xml:space="preserve"> 分，一</w:t>
            </w:r>
            <w:r>
              <w:rPr>
                <w:rFonts w:hint="eastAsia" w:ascii="微软雅黑" w:hAnsi="微软雅黑" w:eastAsia="微软雅黑"/>
                <w:color w:val="000000"/>
                <w:kern w:val="0"/>
                <w:szCs w:val="21"/>
                <w:lang w:eastAsia="zh-CN"/>
              </w:rPr>
              <w:t>项不符合</w:t>
            </w:r>
            <w:r>
              <w:rPr>
                <w:rFonts w:hint="eastAsia" w:ascii="微软雅黑" w:hAnsi="微软雅黑" w:eastAsia="微软雅黑"/>
                <w:color w:val="000000"/>
                <w:kern w:val="0"/>
                <w:szCs w:val="21"/>
              </w:rPr>
              <w:t>扣</w:t>
            </w:r>
            <w:r>
              <w:rPr>
                <w:rFonts w:hint="eastAsia" w:ascii="微软雅黑" w:hAnsi="微软雅黑" w:eastAsia="微软雅黑"/>
                <w:color w:val="000000"/>
                <w:kern w:val="0"/>
                <w:szCs w:val="21"/>
                <w:lang w:val="en-US" w:eastAsia="zh-CN"/>
              </w:rPr>
              <w:t>1</w:t>
            </w:r>
            <w:r>
              <w:rPr>
                <w:rFonts w:hint="eastAsia" w:ascii="微软雅黑" w:hAnsi="微软雅黑" w:eastAsia="微软雅黑"/>
                <w:color w:val="000000"/>
                <w:kern w:val="0"/>
                <w:szCs w:val="21"/>
              </w:rPr>
              <w:t xml:space="preserve">分，扣完为止。 </w:t>
            </w:r>
          </w:p>
          <w:p w14:paraId="2DBDE67D">
            <w:pPr>
              <w:widowControl/>
              <w:wordWrap w:val="0"/>
              <w:adjustRightInd w:val="0"/>
              <w:snapToGrid w:val="0"/>
              <w:jc w:val="left"/>
              <w:rPr>
                <w:rFonts w:ascii="微软雅黑" w:hAnsi="微软雅黑" w:eastAsia="微软雅黑"/>
                <w:color w:val="000000"/>
                <w:kern w:val="0"/>
                <w:szCs w:val="21"/>
              </w:rPr>
            </w:pPr>
            <w:r>
              <w:rPr>
                <w:rFonts w:hint="eastAsia" w:ascii="微软雅黑" w:hAnsi="微软雅黑" w:eastAsia="微软雅黑"/>
                <w:color w:val="000000"/>
                <w:kern w:val="0"/>
                <w:szCs w:val="21"/>
              </w:rPr>
              <w:t>2、</w:t>
            </w:r>
            <w:r>
              <w:rPr>
                <w:rFonts w:hint="eastAsia" w:ascii="微软雅黑" w:hAnsi="微软雅黑" w:eastAsia="微软雅黑"/>
                <w:color w:val="000000"/>
                <w:kern w:val="0"/>
                <w:szCs w:val="21"/>
                <w:lang w:eastAsia="zh-CN"/>
              </w:rPr>
              <w:t>病理专业</w:t>
            </w:r>
            <w:r>
              <w:rPr>
                <w:rFonts w:hint="eastAsia" w:ascii="微软雅黑" w:hAnsi="微软雅黑" w:eastAsia="微软雅黑"/>
                <w:color w:val="000000"/>
                <w:kern w:val="0"/>
                <w:szCs w:val="21"/>
              </w:rPr>
              <w:t>的项目组人员至少</w:t>
            </w:r>
            <w:r>
              <w:rPr>
                <w:rFonts w:hint="eastAsia" w:ascii="微软雅黑" w:hAnsi="微软雅黑" w:eastAsia="微软雅黑"/>
                <w:color w:val="000000"/>
                <w:kern w:val="0"/>
                <w:szCs w:val="21"/>
                <w:lang w:val="en-US" w:eastAsia="zh-CN"/>
              </w:rPr>
              <w:t>6</w:t>
            </w:r>
            <w:r>
              <w:rPr>
                <w:rFonts w:hint="eastAsia" w:ascii="微软雅黑" w:hAnsi="微软雅黑" w:eastAsia="微软雅黑"/>
                <w:color w:val="000000"/>
                <w:kern w:val="0"/>
                <w:szCs w:val="21"/>
              </w:rPr>
              <w:t>人</w:t>
            </w:r>
            <w:r>
              <w:rPr>
                <w:rFonts w:hint="eastAsia" w:ascii="微软雅黑" w:hAnsi="微软雅黑" w:eastAsia="微软雅黑"/>
                <w:color w:val="000000"/>
                <w:kern w:val="0"/>
                <w:szCs w:val="21"/>
                <w:lang w:eastAsia="zh-CN"/>
              </w:rPr>
              <w:t>以上，</w:t>
            </w:r>
            <w:r>
              <w:rPr>
                <w:rFonts w:hint="eastAsia" w:ascii="微软雅黑" w:hAnsi="微软雅黑" w:eastAsia="微软雅黑"/>
                <w:color w:val="000000"/>
                <w:kern w:val="0"/>
                <w:szCs w:val="21"/>
              </w:rPr>
              <w:t>具备</w:t>
            </w:r>
            <w:r>
              <w:rPr>
                <w:rFonts w:hint="eastAsia" w:ascii="微软雅黑" w:hAnsi="微软雅黑" w:eastAsia="微软雅黑"/>
                <w:color w:val="000000"/>
                <w:kern w:val="0"/>
                <w:szCs w:val="21"/>
                <w:lang w:eastAsia="zh-CN"/>
              </w:rPr>
              <w:t>副主任病理医师以上人员至少</w:t>
            </w:r>
            <w:r>
              <w:rPr>
                <w:rFonts w:hint="eastAsia" w:ascii="微软雅黑" w:hAnsi="微软雅黑" w:eastAsia="微软雅黑"/>
                <w:color w:val="000000"/>
                <w:kern w:val="0"/>
                <w:szCs w:val="21"/>
                <w:lang w:val="en-US" w:eastAsia="zh-CN"/>
              </w:rPr>
              <w:t>1人，初</w:t>
            </w:r>
            <w:r>
              <w:rPr>
                <w:rFonts w:hint="eastAsia" w:ascii="微软雅黑" w:hAnsi="微软雅黑" w:eastAsia="微软雅黑"/>
                <w:color w:val="000000"/>
                <w:kern w:val="0"/>
                <w:szCs w:val="21"/>
              </w:rPr>
              <w:t>中级</w:t>
            </w:r>
            <w:r>
              <w:rPr>
                <w:rFonts w:hint="eastAsia" w:ascii="微软雅黑" w:hAnsi="微软雅黑" w:eastAsia="微软雅黑"/>
                <w:color w:val="000000"/>
                <w:kern w:val="0"/>
                <w:szCs w:val="21"/>
                <w:lang w:eastAsia="zh-CN"/>
              </w:rPr>
              <w:t>病理</w:t>
            </w:r>
            <w:r>
              <w:rPr>
                <w:rFonts w:hint="eastAsia" w:ascii="微软雅黑" w:hAnsi="微软雅黑" w:eastAsia="微软雅黑"/>
                <w:color w:val="000000"/>
                <w:kern w:val="0"/>
                <w:szCs w:val="21"/>
              </w:rPr>
              <w:t>职称</w:t>
            </w:r>
            <w:r>
              <w:rPr>
                <w:rFonts w:hint="eastAsia" w:ascii="微软雅黑" w:hAnsi="微软雅黑" w:eastAsia="微软雅黑"/>
                <w:color w:val="000000"/>
                <w:kern w:val="0"/>
                <w:szCs w:val="21"/>
                <w:lang w:val="en-US" w:eastAsia="zh-CN"/>
              </w:rPr>
              <w:t>4人以上（其中中级病理医师至少1人，中级病理技师至少2人）</w:t>
            </w:r>
            <w:r>
              <w:rPr>
                <w:rFonts w:hint="eastAsia" w:ascii="微软雅黑" w:hAnsi="微软雅黑" w:eastAsia="微软雅黑"/>
                <w:color w:val="000000"/>
                <w:kern w:val="0"/>
                <w:szCs w:val="21"/>
              </w:rPr>
              <w:t>，</w:t>
            </w:r>
            <w:r>
              <w:rPr>
                <w:rFonts w:hint="eastAsia" w:ascii="微软雅黑" w:hAnsi="微软雅黑" w:eastAsia="微软雅黑"/>
                <w:color w:val="000000"/>
                <w:kern w:val="0"/>
                <w:szCs w:val="21"/>
                <w:lang w:eastAsia="zh-CN"/>
              </w:rPr>
              <w:t>符合条件</w:t>
            </w:r>
            <w:r>
              <w:rPr>
                <w:rFonts w:hint="eastAsia" w:ascii="微软雅黑" w:hAnsi="微软雅黑" w:eastAsia="微软雅黑"/>
                <w:color w:val="000000"/>
                <w:kern w:val="0"/>
                <w:szCs w:val="21"/>
              </w:rPr>
              <w:t xml:space="preserve">得 </w:t>
            </w:r>
            <w:r>
              <w:rPr>
                <w:rFonts w:ascii="微软雅黑" w:hAnsi="微软雅黑" w:eastAsia="微软雅黑"/>
                <w:color w:val="000000"/>
                <w:kern w:val="0"/>
                <w:szCs w:val="21"/>
              </w:rPr>
              <w:t>5</w:t>
            </w:r>
            <w:r>
              <w:rPr>
                <w:rFonts w:hint="eastAsia" w:ascii="微软雅黑" w:hAnsi="微软雅黑" w:eastAsia="微软雅黑"/>
                <w:color w:val="000000"/>
                <w:kern w:val="0"/>
                <w:szCs w:val="21"/>
              </w:rPr>
              <w:t xml:space="preserve"> 分，一</w:t>
            </w:r>
            <w:r>
              <w:rPr>
                <w:rFonts w:hint="eastAsia" w:ascii="微软雅黑" w:hAnsi="微软雅黑" w:eastAsia="微软雅黑"/>
                <w:color w:val="000000"/>
                <w:kern w:val="0"/>
                <w:szCs w:val="21"/>
                <w:lang w:eastAsia="zh-CN"/>
              </w:rPr>
              <w:t>项不符合</w:t>
            </w:r>
            <w:r>
              <w:rPr>
                <w:rFonts w:hint="eastAsia" w:ascii="微软雅黑" w:hAnsi="微软雅黑" w:eastAsia="微软雅黑"/>
                <w:color w:val="000000"/>
                <w:kern w:val="0"/>
                <w:szCs w:val="21"/>
              </w:rPr>
              <w:t>扣</w:t>
            </w:r>
            <w:r>
              <w:rPr>
                <w:rFonts w:hint="eastAsia" w:ascii="微软雅黑" w:hAnsi="微软雅黑" w:eastAsia="微软雅黑"/>
                <w:color w:val="000000"/>
                <w:kern w:val="0"/>
                <w:szCs w:val="21"/>
                <w:lang w:val="en-US" w:eastAsia="zh-CN"/>
              </w:rPr>
              <w:t>1</w:t>
            </w:r>
            <w:r>
              <w:rPr>
                <w:rFonts w:hint="eastAsia" w:ascii="微软雅黑" w:hAnsi="微软雅黑" w:eastAsia="微软雅黑"/>
                <w:color w:val="000000"/>
                <w:kern w:val="0"/>
                <w:szCs w:val="21"/>
              </w:rPr>
              <w:t xml:space="preserve">分，扣完为止。 </w:t>
            </w:r>
          </w:p>
          <w:p w14:paraId="7AAE944D">
            <w:pPr>
              <w:widowControl/>
              <w:autoSpaceDE w:val="0"/>
              <w:autoSpaceDN w:val="0"/>
              <w:adjustRightInd w:val="0"/>
              <w:snapToGrid w:val="0"/>
              <w:ind w:left="420" w:hanging="420" w:hangingChars="200"/>
              <w:jc w:val="left"/>
              <w:rPr>
                <w:rFonts w:ascii="微软雅黑" w:hAnsi="微软雅黑" w:eastAsia="微软雅黑"/>
                <w:b/>
                <w:strike/>
                <w:color w:val="000000"/>
                <w:kern w:val="0"/>
                <w:szCs w:val="21"/>
              </w:rPr>
            </w:pPr>
            <w:r>
              <w:rPr>
                <w:rFonts w:hint="eastAsia" w:ascii="微软雅黑" w:hAnsi="微软雅黑" w:eastAsia="微软雅黑"/>
                <w:b/>
                <w:bCs/>
                <w:color w:val="000000"/>
                <w:kern w:val="0"/>
                <w:szCs w:val="21"/>
              </w:rPr>
              <w:t>注：</w:t>
            </w:r>
            <w:r>
              <w:rPr>
                <w:rFonts w:hint="eastAsia" w:ascii="微软雅黑" w:hAnsi="微软雅黑" w:eastAsia="微软雅黑"/>
                <w:b/>
                <w:color w:val="000000"/>
                <w:kern w:val="0"/>
                <w:szCs w:val="21"/>
              </w:rPr>
              <w:t>提供相关人员的资格证书复印件并加盖供应商公章及</w:t>
            </w:r>
            <w:r>
              <w:rPr>
                <w:rFonts w:hint="eastAsia" w:ascii="微软雅黑" w:hAnsi="微软雅黑" w:eastAsia="微软雅黑"/>
                <w:b/>
                <w:color w:val="000000"/>
                <w:szCs w:val="21"/>
              </w:rPr>
              <w:t>服务团队成员</w:t>
            </w:r>
            <w:r>
              <w:rPr>
                <w:rFonts w:hint="eastAsia" w:ascii="微软雅黑" w:hAnsi="微软雅黑" w:eastAsia="微软雅黑"/>
                <w:b/>
                <w:color w:val="000000"/>
                <w:kern w:val="0"/>
                <w:szCs w:val="21"/>
              </w:rPr>
              <w:t>近半年任意</w:t>
            </w:r>
            <w:r>
              <w:rPr>
                <w:rFonts w:ascii="微软雅黑" w:hAnsi="微软雅黑" w:eastAsia="微软雅黑"/>
                <w:b/>
                <w:color w:val="000000"/>
                <w:kern w:val="0"/>
                <w:szCs w:val="21"/>
              </w:rPr>
              <w:t>1</w:t>
            </w:r>
            <w:r>
              <w:rPr>
                <w:rFonts w:hint="eastAsia" w:ascii="微软雅黑" w:hAnsi="微软雅黑" w:eastAsia="微软雅黑"/>
                <w:b/>
                <w:color w:val="000000"/>
                <w:kern w:val="0"/>
                <w:szCs w:val="21"/>
              </w:rPr>
              <w:t>个月的社保证明或聘用协议。（窗口打印件或网上截图均可）复印件加盖供应商公章，否则不得分。</w:t>
            </w:r>
          </w:p>
        </w:tc>
        <w:tc>
          <w:tcPr>
            <w:tcW w:w="1028" w:type="dxa"/>
            <w:tcBorders>
              <w:top w:val="single" w:color="auto" w:sz="8" w:space="0"/>
              <w:left w:val="single" w:color="auto" w:sz="4" w:space="0"/>
              <w:bottom w:val="single" w:color="auto" w:sz="8" w:space="0"/>
              <w:right w:val="single" w:color="auto" w:sz="8" w:space="0"/>
            </w:tcBorders>
            <w:vAlign w:val="center"/>
          </w:tcPr>
          <w:p w14:paraId="2E68833D">
            <w:pPr>
              <w:jc w:val="center"/>
              <w:rPr>
                <w:rFonts w:ascii="微软雅黑" w:hAnsi="微软雅黑" w:eastAsia="微软雅黑"/>
                <w:color w:val="00B050"/>
                <w:kern w:val="0"/>
                <w:szCs w:val="21"/>
              </w:rPr>
            </w:pPr>
            <w:r>
              <w:rPr>
                <w:rFonts w:ascii="微软雅黑" w:hAnsi="微软雅黑" w:eastAsia="微软雅黑"/>
                <w:color w:val="000000"/>
                <w:szCs w:val="21"/>
              </w:rPr>
              <w:t>10</w:t>
            </w:r>
            <w:r>
              <w:rPr>
                <w:rFonts w:hint="eastAsia" w:ascii="微软雅黑" w:hAnsi="微软雅黑" w:eastAsia="微软雅黑"/>
                <w:color w:val="000000"/>
                <w:szCs w:val="21"/>
              </w:rPr>
              <w:t>分</w:t>
            </w:r>
          </w:p>
        </w:tc>
      </w:tr>
      <w:tr w14:paraId="4D55ED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96" w:hRule="atLeast"/>
          <w:jc w:val="center"/>
        </w:trPr>
        <w:tc>
          <w:tcPr>
            <w:tcW w:w="703" w:type="dxa"/>
            <w:tcBorders>
              <w:top w:val="single" w:color="auto" w:sz="8" w:space="0"/>
              <w:left w:val="single" w:color="auto" w:sz="8" w:space="0"/>
              <w:bottom w:val="single" w:color="auto" w:sz="4" w:space="0"/>
              <w:right w:val="single" w:color="auto" w:sz="8" w:space="0"/>
            </w:tcBorders>
            <w:vAlign w:val="center"/>
          </w:tcPr>
          <w:p w14:paraId="4000B487">
            <w:pPr>
              <w:widowControl/>
              <w:numPr>
                <w:ilvl w:val="0"/>
                <w:numId w:val="8"/>
              </w:numPr>
              <w:adjustRightInd w:val="0"/>
              <w:snapToGrid w:val="0"/>
              <w:jc w:val="right"/>
              <w:rPr>
                <w:rFonts w:ascii="微软雅黑" w:hAnsi="微软雅黑" w:eastAsia="微软雅黑"/>
                <w:color w:val="000000" w:themeColor="text1"/>
                <w:szCs w:val="21"/>
                <w14:textFill>
                  <w14:solidFill>
                    <w14:schemeClr w14:val="tx1"/>
                  </w14:solidFill>
                </w14:textFill>
              </w:rPr>
            </w:pPr>
          </w:p>
        </w:tc>
        <w:tc>
          <w:tcPr>
            <w:tcW w:w="1512" w:type="dxa"/>
            <w:tcBorders>
              <w:top w:val="single" w:color="auto" w:sz="8" w:space="0"/>
              <w:left w:val="nil"/>
              <w:bottom w:val="single" w:color="auto" w:sz="8" w:space="0"/>
              <w:right w:val="single" w:color="auto" w:sz="8" w:space="0"/>
            </w:tcBorders>
            <w:vAlign w:val="center"/>
          </w:tcPr>
          <w:p w14:paraId="36C6FB33">
            <w:pPr>
              <w:jc w:val="center"/>
              <w:rPr>
                <w:rFonts w:hint="eastAsia" w:ascii="微软雅黑" w:hAnsi="微软雅黑" w:eastAsia="微软雅黑"/>
                <w:color w:val="000000"/>
                <w:szCs w:val="21"/>
                <w:lang w:eastAsia="zh-CN"/>
              </w:rPr>
            </w:pPr>
            <w:r>
              <w:rPr>
                <w:rFonts w:hint="eastAsia" w:ascii="微软雅黑" w:hAnsi="微软雅黑" w:eastAsia="微软雅黑"/>
                <w:color w:val="000000"/>
                <w:szCs w:val="21"/>
                <w:lang w:eastAsia="zh-CN"/>
              </w:rPr>
              <w:t>质量要求</w:t>
            </w:r>
          </w:p>
        </w:tc>
        <w:tc>
          <w:tcPr>
            <w:tcW w:w="6159" w:type="dxa"/>
            <w:tcBorders>
              <w:top w:val="single" w:color="auto" w:sz="8" w:space="0"/>
              <w:left w:val="nil"/>
              <w:bottom w:val="single" w:color="auto" w:sz="8" w:space="0"/>
              <w:right w:val="single" w:color="auto" w:sz="8" w:space="0"/>
            </w:tcBorders>
            <w:vAlign w:val="center"/>
          </w:tcPr>
          <w:p w14:paraId="0104A9ED">
            <w:pPr>
              <w:widowControl/>
              <w:numPr>
                <w:ilvl w:val="0"/>
                <w:numId w:val="9"/>
              </w:numPr>
              <w:wordWrap w:val="0"/>
              <w:adjustRightInd w:val="0"/>
              <w:snapToGrid w:val="0"/>
              <w:jc w:val="left"/>
              <w:rPr>
                <w:rFonts w:hint="eastAsia" w:ascii="微软雅黑" w:hAnsi="微软雅黑" w:eastAsia="微软雅黑" w:cs="仿宋_GB2312"/>
                <w:bCs/>
                <w:color w:val="auto"/>
                <w:szCs w:val="21"/>
                <w:lang w:eastAsia="zh-CN"/>
              </w:rPr>
            </w:pPr>
            <w:r>
              <w:rPr>
                <w:rFonts w:hint="eastAsia" w:ascii="微软雅黑" w:hAnsi="微软雅黑" w:eastAsia="微软雅黑" w:cs="仿宋_GB2312"/>
                <w:bCs/>
                <w:color w:val="auto"/>
                <w:szCs w:val="21"/>
              </w:rPr>
              <w:t>实验室具有完善的质量管理体系，每</w:t>
            </w:r>
            <w:r>
              <w:rPr>
                <w:rFonts w:hint="eastAsia" w:ascii="微软雅黑" w:hAnsi="微软雅黑" w:eastAsia="微软雅黑" w:cs="仿宋_GB2312"/>
                <w:bCs/>
                <w:color w:val="auto"/>
                <w:szCs w:val="21"/>
                <w:lang w:eastAsia="zh-CN"/>
              </w:rPr>
              <w:t>批次</w:t>
            </w:r>
            <w:r>
              <w:rPr>
                <w:rFonts w:hint="eastAsia" w:ascii="微软雅黑" w:hAnsi="微软雅黑" w:eastAsia="微软雅黑" w:cs="仿宋_GB2312"/>
                <w:bCs/>
                <w:color w:val="auto"/>
                <w:szCs w:val="21"/>
              </w:rPr>
              <w:t>检测都有严格的室内质控，</w:t>
            </w:r>
            <w:r>
              <w:rPr>
                <w:rFonts w:hint="eastAsia" w:ascii="微软雅黑" w:hAnsi="微软雅黑" w:eastAsia="微软雅黑" w:cs="仿宋_GB2312"/>
                <w:bCs/>
                <w:color w:val="auto"/>
                <w:szCs w:val="21"/>
                <w:lang w:eastAsia="zh-CN"/>
              </w:rPr>
              <w:t>定期向送检单位</w:t>
            </w:r>
            <w:r>
              <w:rPr>
                <w:rFonts w:hint="eastAsia" w:ascii="微软雅黑" w:hAnsi="微软雅黑" w:eastAsia="微软雅黑" w:cs="仿宋_GB2312"/>
                <w:bCs/>
                <w:color w:val="auto"/>
                <w:szCs w:val="21"/>
              </w:rPr>
              <w:t>提供完整的实验室室内质控报告</w:t>
            </w:r>
            <w:r>
              <w:rPr>
                <w:rFonts w:hint="eastAsia" w:ascii="微软雅黑" w:hAnsi="微软雅黑" w:eastAsia="微软雅黑" w:cs="仿宋_GB2312"/>
                <w:bCs/>
                <w:color w:val="auto"/>
                <w:szCs w:val="21"/>
                <w:lang w:eastAsia="zh-CN"/>
              </w:rPr>
              <w:t>，</w:t>
            </w:r>
            <w:r>
              <w:rPr>
                <w:rFonts w:hint="eastAsia" w:ascii="微软雅黑" w:hAnsi="微软雅黑" w:eastAsia="微软雅黑" w:cs="仿宋_GB2312"/>
                <w:bCs/>
                <w:color w:val="auto"/>
                <w:szCs w:val="21"/>
              </w:rPr>
              <w:t>室内质控报告应当确保所有数据的真实性和可追溯性</w:t>
            </w:r>
            <w:r>
              <w:rPr>
                <w:rFonts w:hint="eastAsia" w:ascii="微软雅黑" w:hAnsi="微软雅黑" w:eastAsia="微软雅黑" w:cs="仿宋_GB2312"/>
                <w:bCs/>
                <w:color w:val="auto"/>
                <w:szCs w:val="21"/>
                <w:lang w:eastAsia="zh-CN"/>
              </w:rPr>
              <w:t>；</w:t>
            </w:r>
          </w:p>
          <w:p w14:paraId="32D1AC7E">
            <w:pPr>
              <w:widowControl/>
              <w:numPr>
                <w:ilvl w:val="0"/>
                <w:numId w:val="9"/>
              </w:numPr>
              <w:wordWrap w:val="0"/>
              <w:adjustRightInd w:val="0"/>
              <w:snapToGrid w:val="0"/>
              <w:jc w:val="left"/>
              <w:rPr>
                <w:rFonts w:hint="eastAsia" w:ascii="微软雅黑" w:hAnsi="微软雅黑" w:eastAsia="微软雅黑" w:cs="仿宋_GB2312"/>
                <w:bCs/>
                <w:color w:val="auto"/>
                <w:szCs w:val="21"/>
                <w:lang w:eastAsia="zh-CN"/>
              </w:rPr>
            </w:pPr>
            <w:r>
              <w:rPr>
                <w:rFonts w:hint="eastAsia" w:ascii="微软雅黑" w:hAnsi="微软雅黑" w:eastAsia="微软雅黑" w:cs="仿宋_GB2312"/>
                <w:bCs/>
                <w:color w:val="auto"/>
                <w:szCs w:val="21"/>
              </w:rPr>
              <w:t>每年</w:t>
            </w:r>
            <w:r>
              <w:rPr>
                <w:rFonts w:hint="eastAsia" w:ascii="微软雅黑" w:hAnsi="微软雅黑" w:eastAsia="微软雅黑" w:cs="仿宋_GB2312"/>
                <w:bCs/>
                <w:color w:val="auto"/>
                <w:szCs w:val="21"/>
                <w:lang w:eastAsia="zh-CN"/>
              </w:rPr>
              <w:t>必须</w:t>
            </w:r>
            <w:r>
              <w:rPr>
                <w:rFonts w:hint="eastAsia" w:ascii="微软雅黑" w:hAnsi="微软雅黑" w:eastAsia="微软雅黑" w:cs="仿宋_GB2312"/>
                <w:bCs/>
                <w:color w:val="auto"/>
                <w:szCs w:val="21"/>
              </w:rPr>
              <w:t>参加卫生部</w:t>
            </w:r>
            <w:r>
              <w:rPr>
                <w:rFonts w:hint="eastAsia" w:ascii="微软雅黑" w:hAnsi="微软雅黑" w:eastAsia="微软雅黑" w:cs="仿宋_GB2312"/>
                <w:bCs/>
                <w:color w:val="auto"/>
                <w:szCs w:val="21"/>
                <w:lang w:eastAsia="zh-CN"/>
              </w:rPr>
              <w:t>或广东省</w:t>
            </w:r>
            <w:r>
              <w:rPr>
                <w:rFonts w:hint="eastAsia" w:ascii="微软雅黑" w:hAnsi="微软雅黑" w:eastAsia="微软雅黑" w:cs="仿宋_GB2312"/>
                <w:bCs/>
                <w:color w:val="auto"/>
                <w:szCs w:val="21"/>
              </w:rPr>
              <w:t>的</w:t>
            </w:r>
            <w:r>
              <w:rPr>
                <w:rFonts w:hint="eastAsia" w:ascii="微软雅黑" w:hAnsi="微软雅黑" w:eastAsia="微软雅黑" w:cs="仿宋_GB2312"/>
                <w:bCs/>
                <w:color w:val="auto"/>
                <w:szCs w:val="21"/>
                <w:lang w:eastAsia="zh-CN"/>
              </w:rPr>
              <w:t>室间质量评价</w:t>
            </w:r>
            <w:r>
              <w:rPr>
                <w:rFonts w:hint="eastAsia" w:ascii="微软雅黑" w:hAnsi="微软雅黑" w:eastAsia="微软雅黑" w:cs="仿宋_GB2312"/>
                <w:bCs/>
                <w:color w:val="auto"/>
                <w:szCs w:val="21"/>
              </w:rPr>
              <w:t>工作</w:t>
            </w:r>
            <w:r>
              <w:rPr>
                <w:rFonts w:hint="eastAsia" w:ascii="微软雅黑" w:hAnsi="微软雅黑" w:eastAsia="微软雅黑" w:cs="仿宋_GB2312"/>
                <w:bCs/>
                <w:color w:val="auto"/>
                <w:szCs w:val="21"/>
                <w:lang w:eastAsia="zh-CN"/>
              </w:rPr>
              <w:t>，并向送检单位提供室间质量评价合格证书。</w:t>
            </w:r>
          </w:p>
          <w:p w14:paraId="132E98B6">
            <w:pPr>
              <w:widowControl/>
              <w:autoSpaceDE w:val="0"/>
              <w:autoSpaceDN w:val="0"/>
              <w:adjustRightInd w:val="0"/>
              <w:snapToGrid w:val="0"/>
              <w:jc w:val="left"/>
              <w:rPr>
                <w:rFonts w:hint="eastAsia" w:ascii="微软雅黑" w:hAnsi="微软雅黑" w:eastAsia="微软雅黑"/>
                <w:b/>
                <w:bCs/>
                <w:color w:val="000000"/>
                <w:kern w:val="0"/>
                <w:szCs w:val="21"/>
              </w:rPr>
            </w:pPr>
            <w:r>
              <w:rPr>
                <w:rFonts w:hint="eastAsia" w:ascii="微软雅黑" w:hAnsi="微软雅黑" w:eastAsia="微软雅黑"/>
                <w:b/>
                <w:bCs/>
                <w:color w:val="000000"/>
                <w:kern w:val="0"/>
                <w:szCs w:val="21"/>
              </w:rPr>
              <w:t>注：</w:t>
            </w:r>
            <w:r>
              <w:rPr>
                <w:rFonts w:hint="eastAsia" w:ascii="微软雅黑" w:hAnsi="微软雅黑" w:eastAsia="微软雅黑"/>
                <w:b/>
                <w:color w:val="000000"/>
                <w:kern w:val="0"/>
                <w:szCs w:val="21"/>
              </w:rPr>
              <w:t>提供</w:t>
            </w:r>
            <w:r>
              <w:rPr>
                <w:rFonts w:hint="eastAsia" w:ascii="微软雅黑" w:hAnsi="微软雅黑" w:eastAsia="微软雅黑"/>
                <w:b/>
                <w:color w:val="000000"/>
                <w:kern w:val="0"/>
                <w:szCs w:val="21"/>
                <w:lang w:eastAsia="zh-CN"/>
              </w:rPr>
              <w:t>近一年内的实验室室内质控分析报告模板及参加卫生部或广东省室间质评合格证书相关，</w:t>
            </w:r>
            <w:r>
              <w:rPr>
                <w:rFonts w:hint="eastAsia" w:ascii="微软雅黑" w:hAnsi="微软雅黑" w:eastAsia="微软雅黑"/>
                <w:b/>
                <w:color w:val="000000"/>
                <w:kern w:val="0"/>
                <w:szCs w:val="21"/>
              </w:rPr>
              <w:t>复印件加盖供应商公章，否则不得分。</w:t>
            </w:r>
          </w:p>
        </w:tc>
        <w:tc>
          <w:tcPr>
            <w:tcW w:w="1028" w:type="dxa"/>
            <w:tcBorders>
              <w:top w:val="single" w:color="auto" w:sz="8" w:space="0"/>
              <w:left w:val="single" w:color="auto" w:sz="4" w:space="0"/>
              <w:bottom w:val="single" w:color="auto" w:sz="8" w:space="0"/>
              <w:right w:val="single" w:color="auto" w:sz="8" w:space="0"/>
            </w:tcBorders>
            <w:vAlign w:val="center"/>
          </w:tcPr>
          <w:p w14:paraId="1AA63452">
            <w:pPr>
              <w:jc w:val="center"/>
              <w:rPr>
                <w:rFonts w:hint="default" w:ascii="微软雅黑" w:hAnsi="微软雅黑" w:eastAsia="微软雅黑"/>
                <w:color w:val="000000"/>
                <w:szCs w:val="21"/>
                <w:lang w:val="en-US" w:eastAsia="zh-CN"/>
              </w:rPr>
            </w:pPr>
            <w:r>
              <w:rPr>
                <w:rFonts w:hint="eastAsia" w:ascii="微软雅黑" w:hAnsi="微软雅黑" w:eastAsia="微软雅黑"/>
                <w:color w:val="000000"/>
                <w:szCs w:val="21"/>
                <w:lang w:val="en-US" w:eastAsia="zh-CN"/>
              </w:rPr>
              <w:t>10分</w:t>
            </w:r>
          </w:p>
        </w:tc>
      </w:tr>
      <w:tr w14:paraId="378D0C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0" w:hRule="atLeast"/>
          <w:jc w:val="center"/>
        </w:trPr>
        <w:tc>
          <w:tcPr>
            <w:tcW w:w="703" w:type="dxa"/>
            <w:vMerge w:val="restart"/>
            <w:tcBorders>
              <w:top w:val="single" w:color="auto" w:sz="8" w:space="0"/>
              <w:left w:val="single" w:color="auto" w:sz="8" w:space="0"/>
              <w:bottom w:val="single" w:color="auto" w:sz="8" w:space="0"/>
              <w:right w:val="single" w:color="auto" w:sz="8" w:space="0"/>
            </w:tcBorders>
            <w:vAlign w:val="center"/>
          </w:tcPr>
          <w:p w14:paraId="3FB83F27">
            <w:pPr>
              <w:widowControl/>
              <w:numPr>
                <w:ilvl w:val="0"/>
                <w:numId w:val="8"/>
              </w:numPr>
              <w:adjustRightInd w:val="0"/>
              <w:snapToGrid w:val="0"/>
              <w:jc w:val="right"/>
              <w:rPr>
                <w:rFonts w:ascii="微软雅黑" w:hAnsi="微软雅黑" w:eastAsia="微软雅黑"/>
                <w:szCs w:val="21"/>
              </w:rPr>
            </w:pPr>
          </w:p>
        </w:tc>
        <w:tc>
          <w:tcPr>
            <w:tcW w:w="1512" w:type="dxa"/>
            <w:vMerge w:val="restart"/>
            <w:tcBorders>
              <w:top w:val="nil"/>
              <w:left w:val="nil"/>
              <w:bottom w:val="single" w:color="auto" w:sz="8" w:space="0"/>
              <w:right w:val="single" w:color="auto" w:sz="8" w:space="0"/>
            </w:tcBorders>
            <w:vAlign w:val="center"/>
          </w:tcPr>
          <w:p w14:paraId="51FAC6A9">
            <w:pPr>
              <w:jc w:val="center"/>
              <w:rPr>
                <w:rFonts w:ascii="微软雅黑" w:hAnsi="微软雅黑" w:eastAsia="微软雅黑"/>
                <w:szCs w:val="21"/>
              </w:rPr>
            </w:pPr>
            <w:r>
              <w:rPr>
                <w:rFonts w:hint="eastAsia" w:ascii="微软雅黑" w:hAnsi="微软雅黑" w:eastAsia="微软雅黑"/>
                <w:kern w:val="0"/>
                <w:szCs w:val="21"/>
              </w:rPr>
              <w:t>冷链物流服务能力</w:t>
            </w:r>
          </w:p>
        </w:tc>
        <w:tc>
          <w:tcPr>
            <w:tcW w:w="6159" w:type="dxa"/>
            <w:tcBorders>
              <w:top w:val="single" w:color="auto" w:sz="8" w:space="0"/>
              <w:left w:val="nil"/>
              <w:bottom w:val="single" w:color="auto" w:sz="8" w:space="0"/>
              <w:right w:val="single" w:color="auto" w:sz="8" w:space="0"/>
            </w:tcBorders>
            <w:vAlign w:val="center"/>
          </w:tcPr>
          <w:p w14:paraId="155E93DE">
            <w:pPr>
              <w:widowControl/>
              <w:numPr>
                <w:ilvl w:val="0"/>
                <w:numId w:val="10"/>
              </w:numPr>
              <w:adjustRightInd w:val="0"/>
              <w:snapToGrid w:val="0"/>
              <w:jc w:val="left"/>
              <w:rPr>
                <w:rFonts w:ascii="微软雅黑" w:hAnsi="微软雅黑" w:eastAsia="微软雅黑"/>
                <w:color w:val="000000"/>
                <w:kern w:val="0"/>
                <w:szCs w:val="21"/>
              </w:rPr>
            </w:pPr>
            <w:r>
              <w:rPr>
                <w:rFonts w:hint="eastAsia" w:ascii="微软雅黑" w:hAnsi="微软雅黑" w:eastAsia="微软雅黑"/>
                <w:color w:val="000000"/>
                <w:kern w:val="0"/>
                <w:szCs w:val="21"/>
              </w:rPr>
              <w:t>供应商的物流标本箱具备GPS定位和温度监控功能，可实现全程实时监测的得</w:t>
            </w:r>
            <w:r>
              <w:rPr>
                <w:rFonts w:hint="eastAsia" w:ascii="微软雅黑" w:hAnsi="微软雅黑" w:eastAsia="微软雅黑"/>
                <w:color w:val="000000"/>
                <w:kern w:val="0"/>
                <w:szCs w:val="21"/>
                <w:lang w:val="en-US" w:eastAsia="zh-CN"/>
              </w:rPr>
              <w:t>4</w:t>
            </w:r>
            <w:r>
              <w:rPr>
                <w:rFonts w:hint="eastAsia" w:ascii="微软雅黑" w:hAnsi="微软雅黑" w:eastAsia="微软雅黑"/>
                <w:color w:val="000000"/>
                <w:kern w:val="0"/>
                <w:szCs w:val="21"/>
              </w:rPr>
              <w:t>分</w:t>
            </w:r>
            <w:r>
              <w:rPr>
                <w:rFonts w:hint="eastAsia" w:ascii="微软雅黑" w:hAnsi="微软雅黑" w:eastAsia="微软雅黑"/>
                <w:color w:val="000000"/>
                <w:kern w:val="0"/>
                <w:szCs w:val="21"/>
                <w:lang w:eastAsia="zh-CN"/>
              </w:rPr>
              <w:t>。</w:t>
            </w:r>
          </w:p>
          <w:p w14:paraId="4C494C57">
            <w:pPr>
              <w:widowControl/>
              <w:adjustRightInd w:val="0"/>
              <w:snapToGrid w:val="0"/>
              <w:jc w:val="left"/>
              <w:rPr>
                <w:rFonts w:ascii="微软雅黑" w:hAnsi="微软雅黑" w:eastAsia="微软雅黑"/>
                <w:b/>
                <w:kern w:val="0"/>
                <w:szCs w:val="21"/>
              </w:rPr>
            </w:pPr>
            <w:r>
              <w:rPr>
                <w:rFonts w:hint="eastAsia" w:ascii="微软雅黑" w:hAnsi="微软雅黑" w:eastAsia="微软雅黑"/>
                <w:b/>
                <w:color w:val="000000"/>
                <w:kern w:val="0"/>
                <w:szCs w:val="21"/>
              </w:rPr>
              <w:t>注：提供相关证明文件复印件并加盖供应商公章，不提供的不得分。</w:t>
            </w:r>
          </w:p>
        </w:tc>
        <w:tc>
          <w:tcPr>
            <w:tcW w:w="1028" w:type="dxa"/>
            <w:tcBorders>
              <w:top w:val="single" w:color="auto" w:sz="8" w:space="0"/>
              <w:left w:val="single" w:color="auto" w:sz="4" w:space="0"/>
              <w:bottom w:val="single" w:color="auto" w:sz="8" w:space="0"/>
              <w:right w:val="single" w:color="auto" w:sz="8" w:space="0"/>
            </w:tcBorders>
            <w:vAlign w:val="center"/>
          </w:tcPr>
          <w:p w14:paraId="52A5DE20">
            <w:pPr>
              <w:jc w:val="center"/>
              <w:rPr>
                <w:rFonts w:ascii="微软雅黑" w:hAnsi="微软雅黑" w:eastAsia="微软雅黑"/>
                <w:szCs w:val="21"/>
              </w:rPr>
            </w:pPr>
            <w:r>
              <w:rPr>
                <w:rFonts w:hint="eastAsia" w:ascii="微软雅黑" w:hAnsi="微软雅黑" w:eastAsia="微软雅黑"/>
                <w:szCs w:val="21"/>
                <w:lang w:val="en-US" w:eastAsia="zh-CN"/>
              </w:rPr>
              <w:t>4</w:t>
            </w:r>
            <w:r>
              <w:rPr>
                <w:rFonts w:hint="eastAsia" w:ascii="微软雅黑" w:hAnsi="微软雅黑" w:eastAsia="微软雅黑"/>
                <w:szCs w:val="21"/>
              </w:rPr>
              <w:t>分</w:t>
            </w:r>
          </w:p>
        </w:tc>
      </w:tr>
      <w:tr w14:paraId="56B701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703" w:type="dxa"/>
            <w:vMerge w:val="continue"/>
            <w:tcBorders>
              <w:top w:val="single" w:color="auto" w:sz="8" w:space="0"/>
              <w:left w:val="single" w:color="auto" w:sz="8" w:space="0"/>
              <w:bottom w:val="single" w:color="auto" w:sz="8" w:space="0"/>
              <w:right w:val="single" w:color="auto" w:sz="8" w:space="0"/>
            </w:tcBorders>
            <w:vAlign w:val="center"/>
          </w:tcPr>
          <w:p w14:paraId="20C66735">
            <w:pPr>
              <w:widowControl/>
              <w:jc w:val="left"/>
              <w:rPr>
                <w:rFonts w:ascii="微软雅黑" w:hAnsi="微软雅黑" w:eastAsia="微软雅黑" w:cs="Times"/>
                <w:szCs w:val="21"/>
              </w:rPr>
            </w:pPr>
          </w:p>
        </w:tc>
        <w:tc>
          <w:tcPr>
            <w:tcW w:w="1512" w:type="dxa"/>
            <w:vMerge w:val="continue"/>
            <w:tcBorders>
              <w:top w:val="nil"/>
              <w:left w:val="nil"/>
              <w:bottom w:val="single" w:color="auto" w:sz="8" w:space="0"/>
              <w:right w:val="single" w:color="auto" w:sz="8" w:space="0"/>
            </w:tcBorders>
            <w:vAlign w:val="center"/>
          </w:tcPr>
          <w:p w14:paraId="6CD9A41B">
            <w:pPr>
              <w:widowControl/>
              <w:jc w:val="left"/>
              <w:rPr>
                <w:rFonts w:ascii="微软雅黑" w:hAnsi="微软雅黑" w:eastAsia="微软雅黑" w:cs="Times"/>
                <w:szCs w:val="21"/>
              </w:rPr>
            </w:pPr>
          </w:p>
        </w:tc>
        <w:tc>
          <w:tcPr>
            <w:tcW w:w="6159" w:type="dxa"/>
            <w:tcBorders>
              <w:top w:val="single" w:color="auto" w:sz="8" w:space="0"/>
              <w:left w:val="nil"/>
              <w:bottom w:val="single" w:color="auto" w:sz="8" w:space="0"/>
              <w:right w:val="single" w:color="auto" w:sz="8" w:space="0"/>
            </w:tcBorders>
            <w:vAlign w:val="center"/>
          </w:tcPr>
          <w:p w14:paraId="3230FCB8">
            <w:pPr>
              <w:widowControl/>
              <w:numPr>
                <w:ilvl w:val="0"/>
                <w:numId w:val="10"/>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供应商需提供专人专车收取标本服务，并提供详细的服务方案：</w:t>
            </w:r>
          </w:p>
          <w:p w14:paraId="2BC69773">
            <w:pPr>
              <w:widowControl/>
              <w:numPr>
                <w:ilvl w:val="0"/>
                <w:numId w:val="11"/>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服务方案详尽完整，</w:t>
            </w:r>
            <w:r>
              <w:rPr>
                <w:rFonts w:ascii="微软雅黑" w:hAnsi="微软雅黑" w:eastAsia="微软雅黑"/>
                <w:kern w:val="0"/>
                <w:szCs w:val="21"/>
              </w:rPr>
              <w:t>能高效地保障</w:t>
            </w:r>
            <w:r>
              <w:rPr>
                <w:rFonts w:hint="eastAsia" w:ascii="微软雅黑" w:hAnsi="微软雅黑" w:eastAsia="微软雅黑"/>
                <w:kern w:val="0"/>
                <w:szCs w:val="21"/>
              </w:rPr>
              <w:t>冷链物流服务，得4分；</w:t>
            </w:r>
          </w:p>
          <w:p w14:paraId="1E064010">
            <w:pPr>
              <w:widowControl/>
              <w:numPr>
                <w:ilvl w:val="0"/>
                <w:numId w:val="11"/>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服务方案</w:t>
            </w:r>
            <w:r>
              <w:rPr>
                <w:rFonts w:ascii="微软雅黑" w:hAnsi="微软雅黑" w:eastAsia="微软雅黑"/>
                <w:kern w:val="0"/>
                <w:szCs w:val="21"/>
              </w:rPr>
              <w:t>基本完整，具备可行性</w:t>
            </w:r>
            <w:r>
              <w:rPr>
                <w:rFonts w:hint="eastAsia" w:ascii="微软雅黑" w:hAnsi="微软雅黑" w:eastAsia="微软雅黑"/>
                <w:kern w:val="0"/>
                <w:szCs w:val="21"/>
              </w:rPr>
              <w:t>，</w:t>
            </w:r>
            <w:r>
              <w:rPr>
                <w:rFonts w:ascii="微软雅黑" w:hAnsi="微软雅黑" w:eastAsia="微软雅黑"/>
                <w:kern w:val="0"/>
                <w:szCs w:val="21"/>
              </w:rPr>
              <w:t>能保障</w:t>
            </w:r>
            <w:r>
              <w:rPr>
                <w:rFonts w:hint="eastAsia" w:ascii="微软雅黑" w:hAnsi="微软雅黑" w:eastAsia="微软雅黑"/>
                <w:kern w:val="0"/>
                <w:szCs w:val="21"/>
              </w:rPr>
              <w:t>冷链物流服务，得2分；</w:t>
            </w:r>
          </w:p>
          <w:p w14:paraId="2AB98E69">
            <w:pPr>
              <w:widowControl/>
              <w:numPr>
                <w:ilvl w:val="0"/>
                <w:numId w:val="11"/>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服务方案</w:t>
            </w:r>
            <w:r>
              <w:rPr>
                <w:rFonts w:ascii="微软雅黑" w:hAnsi="微软雅黑" w:eastAsia="微软雅黑"/>
                <w:kern w:val="0"/>
                <w:szCs w:val="21"/>
              </w:rPr>
              <w:t>缺乏合理性</w:t>
            </w:r>
            <w:r>
              <w:rPr>
                <w:rFonts w:hint="eastAsia" w:ascii="微软雅黑" w:hAnsi="微软雅黑" w:eastAsia="微软雅黑"/>
                <w:kern w:val="0"/>
                <w:szCs w:val="21"/>
              </w:rPr>
              <w:t>或未提供，不得分；</w:t>
            </w:r>
          </w:p>
        </w:tc>
        <w:tc>
          <w:tcPr>
            <w:tcW w:w="1028" w:type="dxa"/>
            <w:tcBorders>
              <w:top w:val="single" w:color="auto" w:sz="8" w:space="0"/>
              <w:left w:val="single" w:color="auto" w:sz="4" w:space="0"/>
              <w:bottom w:val="single" w:color="auto" w:sz="8" w:space="0"/>
              <w:right w:val="single" w:color="auto" w:sz="8" w:space="0"/>
            </w:tcBorders>
            <w:vAlign w:val="center"/>
          </w:tcPr>
          <w:p w14:paraId="20B82F09">
            <w:pPr>
              <w:jc w:val="center"/>
              <w:rPr>
                <w:rFonts w:ascii="微软雅黑" w:hAnsi="微软雅黑" w:eastAsia="微软雅黑"/>
                <w:szCs w:val="21"/>
              </w:rPr>
            </w:pPr>
            <w:r>
              <w:rPr>
                <w:rFonts w:hint="eastAsia" w:ascii="微软雅黑" w:hAnsi="微软雅黑" w:eastAsia="微软雅黑"/>
                <w:szCs w:val="21"/>
                <w:lang w:val="en-US" w:eastAsia="zh-CN"/>
              </w:rPr>
              <w:t>6</w:t>
            </w:r>
            <w:r>
              <w:rPr>
                <w:rFonts w:hint="eastAsia" w:ascii="微软雅黑" w:hAnsi="微软雅黑" w:eastAsia="微软雅黑"/>
                <w:szCs w:val="21"/>
              </w:rPr>
              <w:t>分</w:t>
            </w:r>
          </w:p>
        </w:tc>
      </w:tr>
      <w:tr w14:paraId="6953543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6" w:hRule="atLeast"/>
          <w:jc w:val="center"/>
        </w:trPr>
        <w:tc>
          <w:tcPr>
            <w:tcW w:w="703" w:type="dxa"/>
            <w:tcBorders>
              <w:top w:val="single" w:color="auto" w:sz="8" w:space="0"/>
              <w:left w:val="single" w:color="auto" w:sz="8" w:space="0"/>
              <w:bottom w:val="single" w:color="auto" w:sz="4" w:space="0"/>
              <w:right w:val="single" w:color="auto" w:sz="8" w:space="0"/>
            </w:tcBorders>
            <w:vAlign w:val="center"/>
          </w:tcPr>
          <w:p w14:paraId="69BD88FC">
            <w:pPr>
              <w:widowControl/>
              <w:numPr>
                <w:ilvl w:val="0"/>
                <w:numId w:val="8"/>
              </w:numPr>
              <w:adjustRightInd w:val="0"/>
              <w:snapToGrid w:val="0"/>
              <w:jc w:val="right"/>
              <w:rPr>
                <w:rFonts w:ascii="微软雅黑" w:hAnsi="微软雅黑" w:eastAsia="微软雅黑"/>
                <w:szCs w:val="21"/>
              </w:rPr>
            </w:pPr>
          </w:p>
        </w:tc>
        <w:tc>
          <w:tcPr>
            <w:tcW w:w="1512" w:type="dxa"/>
            <w:tcBorders>
              <w:top w:val="single" w:color="auto" w:sz="8" w:space="0"/>
              <w:left w:val="nil"/>
              <w:bottom w:val="single" w:color="auto" w:sz="8" w:space="0"/>
              <w:right w:val="single" w:color="auto" w:sz="8" w:space="0"/>
            </w:tcBorders>
            <w:vAlign w:val="center"/>
          </w:tcPr>
          <w:p w14:paraId="2DF53523">
            <w:pPr>
              <w:jc w:val="center"/>
              <w:rPr>
                <w:rFonts w:ascii="微软雅黑" w:hAnsi="微软雅黑" w:eastAsia="微软雅黑"/>
                <w:kern w:val="0"/>
                <w:szCs w:val="21"/>
              </w:rPr>
            </w:pPr>
            <w:r>
              <w:rPr>
                <w:rFonts w:hint="eastAsia" w:ascii="微软雅黑" w:hAnsi="微软雅黑" w:eastAsia="微软雅黑"/>
                <w:kern w:val="0"/>
                <w:szCs w:val="21"/>
              </w:rPr>
              <w:t>服务方案</w:t>
            </w:r>
          </w:p>
        </w:tc>
        <w:tc>
          <w:tcPr>
            <w:tcW w:w="6159" w:type="dxa"/>
            <w:tcBorders>
              <w:top w:val="single" w:color="auto" w:sz="8" w:space="0"/>
              <w:left w:val="nil"/>
              <w:bottom w:val="single" w:color="auto" w:sz="8" w:space="0"/>
              <w:right w:val="single" w:color="auto" w:sz="8" w:space="0"/>
            </w:tcBorders>
            <w:vAlign w:val="center"/>
          </w:tcPr>
          <w:p w14:paraId="3FDA0A3A">
            <w:pPr>
              <w:widowControl/>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根据供应商所提供服务方案的整体质量、可行性进行打分：</w:t>
            </w:r>
          </w:p>
          <w:p w14:paraId="116676C6">
            <w:pPr>
              <w:widowControl/>
              <w:numPr>
                <w:ilvl w:val="0"/>
                <w:numId w:val="12"/>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服务方案的整体质量方案清晰、完善，可行性高，且高度符合项目需求的，得</w:t>
            </w:r>
            <w:r>
              <w:rPr>
                <w:rFonts w:ascii="微软雅黑" w:hAnsi="微软雅黑" w:eastAsia="微软雅黑"/>
                <w:kern w:val="0"/>
                <w:szCs w:val="21"/>
              </w:rPr>
              <w:t>10</w:t>
            </w:r>
            <w:r>
              <w:rPr>
                <w:rFonts w:hint="eastAsia" w:ascii="微软雅黑" w:hAnsi="微软雅黑" w:eastAsia="微软雅黑"/>
                <w:kern w:val="0"/>
                <w:szCs w:val="21"/>
              </w:rPr>
              <w:t>分。</w:t>
            </w:r>
          </w:p>
          <w:p w14:paraId="5F4BD4D3">
            <w:pPr>
              <w:widowControl/>
              <w:numPr>
                <w:ilvl w:val="0"/>
                <w:numId w:val="12"/>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服务方案的整体质量方案完善，可行性高，符合项目需求，得</w:t>
            </w:r>
            <w:r>
              <w:rPr>
                <w:rFonts w:ascii="微软雅黑" w:hAnsi="微软雅黑" w:eastAsia="微软雅黑"/>
                <w:kern w:val="0"/>
                <w:szCs w:val="21"/>
              </w:rPr>
              <w:t>6</w:t>
            </w:r>
            <w:r>
              <w:rPr>
                <w:rFonts w:hint="eastAsia" w:ascii="微软雅黑" w:hAnsi="微软雅黑" w:eastAsia="微软雅黑"/>
                <w:kern w:val="0"/>
                <w:szCs w:val="21"/>
              </w:rPr>
              <w:t>分。</w:t>
            </w:r>
          </w:p>
          <w:p w14:paraId="15FA9408">
            <w:pPr>
              <w:widowControl/>
              <w:numPr>
                <w:ilvl w:val="0"/>
                <w:numId w:val="12"/>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服务方案的整体质量方案基本完整，具备一定可行性，基本符合项目需求，得</w:t>
            </w:r>
            <w:r>
              <w:rPr>
                <w:rFonts w:ascii="微软雅黑" w:hAnsi="微软雅黑" w:eastAsia="微软雅黑"/>
                <w:kern w:val="0"/>
                <w:szCs w:val="21"/>
              </w:rPr>
              <w:t>3</w:t>
            </w:r>
            <w:r>
              <w:rPr>
                <w:rFonts w:hint="eastAsia" w:ascii="微软雅黑" w:hAnsi="微软雅黑" w:eastAsia="微软雅黑"/>
                <w:kern w:val="0"/>
                <w:szCs w:val="21"/>
              </w:rPr>
              <w:t>分。</w:t>
            </w:r>
          </w:p>
          <w:p w14:paraId="032C63AB">
            <w:pPr>
              <w:widowControl/>
              <w:numPr>
                <w:ilvl w:val="0"/>
                <w:numId w:val="12"/>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服务方案的整体质量方案差，不符合项目需求，得0分。</w:t>
            </w:r>
          </w:p>
        </w:tc>
        <w:tc>
          <w:tcPr>
            <w:tcW w:w="1028" w:type="dxa"/>
            <w:tcBorders>
              <w:top w:val="single" w:color="auto" w:sz="8" w:space="0"/>
              <w:left w:val="single" w:color="auto" w:sz="4" w:space="0"/>
              <w:bottom w:val="single" w:color="auto" w:sz="8" w:space="0"/>
              <w:right w:val="single" w:color="auto" w:sz="8" w:space="0"/>
            </w:tcBorders>
            <w:vAlign w:val="center"/>
          </w:tcPr>
          <w:p w14:paraId="695F455B">
            <w:pPr>
              <w:jc w:val="center"/>
              <w:rPr>
                <w:rFonts w:ascii="微软雅黑" w:hAnsi="微软雅黑" w:eastAsia="微软雅黑"/>
                <w:szCs w:val="21"/>
              </w:rPr>
            </w:pPr>
            <w:r>
              <w:rPr>
                <w:rFonts w:ascii="微软雅黑" w:hAnsi="微软雅黑" w:eastAsia="微软雅黑"/>
                <w:szCs w:val="21"/>
              </w:rPr>
              <w:t>10</w:t>
            </w:r>
            <w:r>
              <w:rPr>
                <w:rFonts w:hint="eastAsia" w:ascii="微软雅黑" w:hAnsi="微软雅黑" w:eastAsia="微软雅黑"/>
                <w:szCs w:val="21"/>
              </w:rPr>
              <w:t>分</w:t>
            </w:r>
          </w:p>
        </w:tc>
      </w:tr>
      <w:tr w14:paraId="032881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6" w:hRule="atLeast"/>
          <w:jc w:val="center"/>
        </w:trPr>
        <w:tc>
          <w:tcPr>
            <w:tcW w:w="703" w:type="dxa"/>
            <w:tcBorders>
              <w:top w:val="single" w:color="auto" w:sz="8" w:space="0"/>
              <w:left w:val="single" w:color="auto" w:sz="8" w:space="0"/>
              <w:bottom w:val="single" w:color="auto" w:sz="8" w:space="0"/>
              <w:right w:val="single" w:color="auto" w:sz="8" w:space="0"/>
            </w:tcBorders>
            <w:vAlign w:val="center"/>
          </w:tcPr>
          <w:p w14:paraId="28F1294B">
            <w:pPr>
              <w:widowControl/>
              <w:numPr>
                <w:ilvl w:val="0"/>
                <w:numId w:val="8"/>
              </w:numPr>
              <w:adjustRightInd w:val="0"/>
              <w:snapToGrid w:val="0"/>
              <w:jc w:val="right"/>
              <w:rPr>
                <w:rFonts w:ascii="微软雅黑" w:hAnsi="微软雅黑" w:eastAsia="微软雅黑"/>
                <w:szCs w:val="21"/>
              </w:rPr>
            </w:pPr>
          </w:p>
        </w:tc>
        <w:tc>
          <w:tcPr>
            <w:tcW w:w="1512" w:type="dxa"/>
            <w:tcBorders>
              <w:top w:val="single" w:color="auto" w:sz="8" w:space="0"/>
              <w:left w:val="nil"/>
              <w:bottom w:val="single" w:color="auto" w:sz="8" w:space="0"/>
              <w:right w:val="single" w:color="auto" w:sz="8" w:space="0"/>
            </w:tcBorders>
            <w:vAlign w:val="center"/>
          </w:tcPr>
          <w:p w14:paraId="398E896C">
            <w:pPr>
              <w:widowControl/>
              <w:adjustRightInd w:val="0"/>
              <w:snapToGrid w:val="0"/>
              <w:jc w:val="center"/>
              <w:rPr>
                <w:rFonts w:ascii="微软雅黑" w:hAnsi="微软雅黑" w:eastAsia="微软雅黑"/>
                <w:kern w:val="0"/>
                <w:szCs w:val="21"/>
              </w:rPr>
            </w:pPr>
            <w:r>
              <w:rPr>
                <w:rFonts w:hint="eastAsia" w:ascii="微软雅黑" w:hAnsi="微软雅黑" w:eastAsia="微软雅黑"/>
                <w:kern w:val="0"/>
                <w:szCs w:val="21"/>
              </w:rPr>
              <w:t>检验信息化服务能力方案</w:t>
            </w:r>
          </w:p>
        </w:tc>
        <w:tc>
          <w:tcPr>
            <w:tcW w:w="6159" w:type="dxa"/>
            <w:tcBorders>
              <w:top w:val="single" w:color="auto" w:sz="8" w:space="0"/>
              <w:left w:val="nil"/>
              <w:bottom w:val="single" w:color="auto" w:sz="8" w:space="0"/>
              <w:right w:val="single" w:color="auto" w:sz="8" w:space="0"/>
            </w:tcBorders>
            <w:vAlign w:val="center"/>
          </w:tcPr>
          <w:p w14:paraId="6A6326FE">
            <w:pPr>
              <w:widowControl/>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 xml:space="preserve">供应商具备信息化服务能力，同时保证医疗信息安全，根据供应商提供的检验信息化服务能力方案（内容包括：1. 供应商需提供标本检测所需信息系统等信息化工具及技术支持并具备自建检验信息系统开发、实施能力的相关方案。2.供应商需提供能够与医院HIS或LIS接入方案）进行评审： </w:t>
            </w:r>
          </w:p>
          <w:p w14:paraId="74702CFE">
            <w:pPr>
              <w:widowControl/>
              <w:numPr>
                <w:ilvl w:val="0"/>
                <w:numId w:val="13"/>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优：方案清晰、完善，可行性高，且高度符合项目需求的，得</w:t>
            </w:r>
            <w:r>
              <w:rPr>
                <w:rFonts w:ascii="微软雅黑" w:hAnsi="微软雅黑" w:eastAsia="微软雅黑"/>
                <w:kern w:val="0"/>
                <w:szCs w:val="21"/>
              </w:rPr>
              <w:t>5</w:t>
            </w:r>
            <w:r>
              <w:rPr>
                <w:rFonts w:hint="eastAsia" w:ascii="微软雅黑" w:hAnsi="微软雅黑" w:eastAsia="微软雅黑"/>
                <w:kern w:val="0"/>
                <w:szCs w:val="21"/>
              </w:rPr>
              <w:t>分。</w:t>
            </w:r>
          </w:p>
          <w:p w14:paraId="43837B86">
            <w:pPr>
              <w:widowControl/>
              <w:numPr>
                <w:ilvl w:val="0"/>
                <w:numId w:val="13"/>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良：方案完善，可行性高，符合项目需求，得</w:t>
            </w:r>
            <w:r>
              <w:rPr>
                <w:rFonts w:ascii="微软雅黑" w:hAnsi="微软雅黑" w:eastAsia="微软雅黑"/>
                <w:kern w:val="0"/>
                <w:szCs w:val="21"/>
              </w:rPr>
              <w:t>3</w:t>
            </w:r>
            <w:r>
              <w:rPr>
                <w:rFonts w:hint="eastAsia" w:ascii="微软雅黑" w:hAnsi="微软雅黑" w:eastAsia="微软雅黑"/>
                <w:kern w:val="0"/>
                <w:szCs w:val="21"/>
              </w:rPr>
              <w:t>分。</w:t>
            </w:r>
          </w:p>
          <w:p w14:paraId="14A4A79B">
            <w:pPr>
              <w:widowControl/>
              <w:numPr>
                <w:ilvl w:val="0"/>
                <w:numId w:val="13"/>
              </w:numPr>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中：方案基本完整，具备一定可行性，基本符合项目需求，得</w:t>
            </w:r>
            <w:r>
              <w:rPr>
                <w:rFonts w:ascii="微软雅黑" w:hAnsi="微软雅黑" w:eastAsia="微软雅黑"/>
                <w:kern w:val="0"/>
                <w:szCs w:val="21"/>
              </w:rPr>
              <w:t>1</w:t>
            </w:r>
            <w:r>
              <w:rPr>
                <w:rFonts w:hint="eastAsia" w:ascii="微软雅黑" w:hAnsi="微软雅黑" w:eastAsia="微软雅黑"/>
                <w:kern w:val="0"/>
                <w:szCs w:val="21"/>
              </w:rPr>
              <w:t>分。</w:t>
            </w:r>
          </w:p>
          <w:p w14:paraId="2181EB23">
            <w:pPr>
              <w:widowControl/>
              <w:numPr>
                <w:ilvl w:val="0"/>
                <w:numId w:val="13"/>
              </w:numPr>
              <w:adjustRightInd w:val="0"/>
              <w:snapToGrid w:val="0"/>
              <w:jc w:val="left"/>
              <w:rPr>
                <w:rFonts w:ascii="微软雅黑" w:hAnsi="微软雅黑" w:eastAsia="微软雅黑"/>
                <w:szCs w:val="21"/>
              </w:rPr>
            </w:pPr>
            <w:r>
              <w:rPr>
                <w:rFonts w:hint="eastAsia" w:ascii="微软雅黑" w:hAnsi="微软雅黑" w:eastAsia="微软雅黑"/>
                <w:kern w:val="0"/>
                <w:szCs w:val="21"/>
              </w:rPr>
              <w:t>差：方案差，不符合项目需求，得0分。</w:t>
            </w:r>
          </w:p>
        </w:tc>
        <w:tc>
          <w:tcPr>
            <w:tcW w:w="1028" w:type="dxa"/>
            <w:tcBorders>
              <w:top w:val="single" w:color="auto" w:sz="8" w:space="0"/>
              <w:left w:val="single" w:color="auto" w:sz="4" w:space="0"/>
              <w:bottom w:val="single" w:color="auto" w:sz="8" w:space="0"/>
              <w:right w:val="single" w:color="auto" w:sz="8" w:space="0"/>
            </w:tcBorders>
            <w:vAlign w:val="center"/>
          </w:tcPr>
          <w:p w14:paraId="72F0568F">
            <w:pPr>
              <w:ind w:left="-78" w:leftChars="-37" w:right="-73" w:rightChars="-35"/>
              <w:jc w:val="center"/>
              <w:rPr>
                <w:rFonts w:ascii="微软雅黑" w:hAnsi="微软雅黑" w:eastAsia="微软雅黑"/>
                <w:szCs w:val="21"/>
              </w:rPr>
            </w:pPr>
            <w:r>
              <w:rPr>
                <w:rFonts w:ascii="微软雅黑" w:hAnsi="微软雅黑" w:eastAsia="微软雅黑"/>
                <w:szCs w:val="21"/>
              </w:rPr>
              <w:t>5</w:t>
            </w:r>
            <w:r>
              <w:rPr>
                <w:rFonts w:hint="eastAsia" w:ascii="微软雅黑" w:hAnsi="微软雅黑" w:eastAsia="微软雅黑"/>
                <w:szCs w:val="21"/>
              </w:rPr>
              <w:t>分</w:t>
            </w:r>
          </w:p>
        </w:tc>
      </w:tr>
      <w:tr w14:paraId="6D6EA9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6" w:hRule="atLeast"/>
          <w:jc w:val="center"/>
        </w:trPr>
        <w:tc>
          <w:tcPr>
            <w:tcW w:w="703" w:type="dxa"/>
            <w:tcBorders>
              <w:top w:val="single" w:color="auto" w:sz="8" w:space="0"/>
              <w:left w:val="single" w:color="auto" w:sz="8" w:space="0"/>
              <w:bottom w:val="single" w:color="auto" w:sz="8" w:space="0"/>
              <w:right w:val="single" w:color="auto" w:sz="8" w:space="0"/>
            </w:tcBorders>
            <w:vAlign w:val="center"/>
          </w:tcPr>
          <w:p w14:paraId="51F8AE26">
            <w:pPr>
              <w:widowControl/>
              <w:numPr>
                <w:ilvl w:val="0"/>
                <w:numId w:val="8"/>
              </w:numPr>
              <w:adjustRightInd w:val="0"/>
              <w:snapToGrid w:val="0"/>
              <w:jc w:val="right"/>
              <w:rPr>
                <w:rFonts w:ascii="微软雅黑" w:hAnsi="微软雅黑" w:eastAsia="微软雅黑"/>
                <w:szCs w:val="21"/>
              </w:rPr>
            </w:pPr>
          </w:p>
        </w:tc>
        <w:tc>
          <w:tcPr>
            <w:tcW w:w="1512" w:type="dxa"/>
            <w:tcBorders>
              <w:top w:val="single" w:color="auto" w:sz="8" w:space="0"/>
              <w:left w:val="nil"/>
              <w:bottom w:val="single" w:color="auto" w:sz="8" w:space="0"/>
              <w:right w:val="single" w:color="auto" w:sz="8" w:space="0"/>
            </w:tcBorders>
            <w:vAlign w:val="center"/>
          </w:tcPr>
          <w:p w14:paraId="364D1344">
            <w:pPr>
              <w:widowControl/>
              <w:adjustRightInd w:val="0"/>
              <w:snapToGrid w:val="0"/>
              <w:jc w:val="center"/>
              <w:rPr>
                <w:rFonts w:ascii="微软雅黑" w:hAnsi="微软雅黑" w:eastAsia="微软雅黑"/>
                <w:kern w:val="0"/>
                <w:szCs w:val="21"/>
              </w:rPr>
            </w:pPr>
            <w:r>
              <w:rPr>
                <w:rFonts w:hint="eastAsia" w:ascii="微软雅黑" w:hAnsi="微软雅黑" w:eastAsia="微软雅黑"/>
                <w:kern w:val="0"/>
                <w:szCs w:val="21"/>
              </w:rPr>
              <w:t>售后服务方案</w:t>
            </w:r>
          </w:p>
        </w:tc>
        <w:tc>
          <w:tcPr>
            <w:tcW w:w="6159" w:type="dxa"/>
            <w:tcBorders>
              <w:top w:val="single" w:color="auto" w:sz="8" w:space="0"/>
              <w:left w:val="nil"/>
              <w:bottom w:val="single" w:color="auto" w:sz="8" w:space="0"/>
              <w:right w:val="single" w:color="auto" w:sz="8" w:space="0"/>
            </w:tcBorders>
            <w:vAlign w:val="center"/>
          </w:tcPr>
          <w:p w14:paraId="0689FA78">
            <w:pPr>
              <w:widowControl/>
              <w:autoSpaceDE w:val="0"/>
              <w:autoSpaceDN w:val="0"/>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根据供应商提供的售后服务承诺方案，售后服务计划及方案是否合理、是否有针对项目制定完善、可靠的售后服务方案进行评分：</w:t>
            </w:r>
          </w:p>
          <w:p w14:paraId="6B68E546">
            <w:pPr>
              <w:widowControl/>
              <w:numPr>
                <w:ilvl w:val="0"/>
                <w:numId w:val="14"/>
              </w:numPr>
              <w:autoSpaceDE w:val="0"/>
              <w:autoSpaceDN w:val="0"/>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供应商售后服务方案完整、合理，实施方法可行，得</w:t>
            </w:r>
            <w:r>
              <w:rPr>
                <w:rFonts w:ascii="微软雅黑" w:hAnsi="微软雅黑" w:eastAsia="微软雅黑"/>
                <w:kern w:val="0"/>
                <w:szCs w:val="21"/>
              </w:rPr>
              <w:t>5</w:t>
            </w:r>
            <w:r>
              <w:rPr>
                <w:rFonts w:hint="eastAsia" w:ascii="微软雅黑" w:hAnsi="微软雅黑" w:eastAsia="微软雅黑"/>
                <w:kern w:val="0"/>
                <w:szCs w:val="21"/>
              </w:rPr>
              <w:t>分；</w:t>
            </w:r>
          </w:p>
          <w:p w14:paraId="55014D40">
            <w:pPr>
              <w:widowControl/>
              <w:numPr>
                <w:ilvl w:val="0"/>
                <w:numId w:val="14"/>
              </w:numPr>
              <w:autoSpaceDE w:val="0"/>
              <w:autoSpaceDN w:val="0"/>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供应商售后服务方案较完整，实施方法基本可行，得</w:t>
            </w:r>
            <w:r>
              <w:rPr>
                <w:rFonts w:ascii="微软雅黑" w:hAnsi="微软雅黑" w:eastAsia="微软雅黑"/>
                <w:kern w:val="0"/>
                <w:szCs w:val="21"/>
              </w:rPr>
              <w:t>2</w:t>
            </w:r>
            <w:r>
              <w:rPr>
                <w:rFonts w:hint="eastAsia" w:ascii="微软雅黑" w:hAnsi="微软雅黑" w:eastAsia="微软雅黑"/>
                <w:kern w:val="0"/>
                <w:szCs w:val="21"/>
              </w:rPr>
              <w:t>分；</w:t>
            </w:r>
          </w:p>
          <w:p w14:paraId="3CF0651E">
            <w:pPr>
              <w:widowControl/>
              <w:numPr>
                <w:ilvl w:val="0"/>
                <w:numId w:val="14"/>
              </w:numPr>
              <w:autoSpaceDE w:val="0"/>
              <w:autoSpaceDN w:val="0"/>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方案差，不符合项目需求，得0分。</w:t>
            </w:r>
          </w:p>
        </w:tc>
        <w:tc>
          <w:tcPr>
            <w:tcW w:w="1028" w:type="dxa"/>
            <w:tcBorders>
              <w:top w:val="single" w:color="auto" w:sz="8" w:space="0"/>
              <w:left w:val="single" w:color="auto" w:sz="4" w:space="0"/>
              <w:bottom w:val="single" w:color="auto" w:sz="8" w:space="0"/>
              <w:right w:val="single" w:color="auto" w:sz="8" w:space="0"/>
            </w:tcBorders>
            <w:vAlign w:val="center"/>
          </w:tcPr>
          <w:p w14:paraId="6492BDBD">
            <w:pPr>
              <w:ind w:left="-78" w:leftChars="-37" w:right="-73" w:rightChars="-35"/>
              <w:jc w:val="center"/>
              <w:rPr>
                <w:rFonts w:ascii="微软雅黑" w:hAnsi="微软雅黑" w:eastAsia="微软雅黑"/>
                <w:szCs w:val="21"/>
              </w:rPr>
            </w:pPr>
            <w:r>
              <w:rPr>
                <w:rFonts w:ascii="微软雅黑" w:hAnsi="微软雅黑" w:eastAsia="微软雅黑"/>
                <w:szCs w:val="21"/>
              </w:rPr>
              <w:t>5</w:t>
            </w:r>
            <w:r>
              <w:rPr>
                <w:rFonts w:hint="eastAsia" w:ascii="微软雅黑" w:hAnsi="微软雅黑" w:eastAsia="微软雅黑"/>
                <w:szCs w:val="21"/>
              </w:rPr>
              <w:t>分</w:t>
            </w:r>
          </w:p>
        </w:tc>
      </w:tr>
      <w:tr w14:paraId="0E3064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8" w:hRule="atLeast"/>
          <w:jc w:val="center"/>
        </w:trPr>
        <w:tc>
          <w:tcPr>
            <w:tcW w:w="9402" w:type="dxa"/>
            <w:gridSpan w:val="4"/>
            <w:tcBorders>
              <w:top w:val="single" w:color="auto" w:sz="4" w:space="0"/>
              <w:left w:val="single" w:color="auto" w:sz="8" w:space="0"/>
              <w:bottom w:val="single" w:color="auto" w:sz="8" w:space="0"/>
              <w:right w:val="single" w:color="auto" w:sz="8" w:space="0"/>
            </w:tcBorders>
            <w:vAlign w:val="center"/>
          </w:tcPr>
          <w:p w14:paraId="0A9600A8">
            <w:pPr>
              <w:ind w:left="-78" w:leftChars="-37" w:right="-73" w:rightChars="-35"/>
              <w:jc w:val="center"/>
              <w:rPr>
                <w:rFonts w:ascii="微软雅黑" w:hAnsi="微软雅黑" w:eastAsia="微软雅黑"/>
                <w:szCs w:val="21"/>
              </w:rPr>
            </w:pPr>
            <w:r>
              <w:rPr>
                <w:rFonts w:hint="eastAsia" w:ascii="微软雅黑" w:hAnsi="微软雅黑" w:eastAsia="微软雅黑"/>
                <w:b/>
                <w:bCs/>
                <w:szCs w:val="21"/>
              </w:rPr>
              <w:t>商务部分（满分</w:t>
            </w:r>
            <w:r>
              <w:rPr>
                <w:rFonts w:hint="eastAsia" w:ascii="微软雅黑" w:hAnsi="微软雅黑" w:eastAsia="微软雅黑"/>
                <w:b/>
                <w:bCs/>
                <w:szCs w:val="21"/>
                <w:lang w:val="en-US" w:eastAsia="zh-CN"/>
              </w:rPr>
              <w:t>20</w:t>
            </w:r>
            <w:r>
              <w:rPr>
                <w:rFonts w:hint="eastAsia" w:ascii="微软雅黑" w:hAnsi="微软雅黑" w:eastAsia="微软雅黑"/>
                <w:b/>
                <w:bCs/>
                <w:szCs w:val="21"/>
              </w:rPr>
              <w:t>分）</w:t>
            </w:r>
          </w:p>
        </w:tc>
      </w:tr>
      <w:tr w14:paraId="78A4AD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 w:hRule="atLeast"/>
          <w:jc w:val="center"/>
        </w:trPr>
        <w:tc>
          <w:tcPr>
            <w:tcW w:w="703" w:type="dxa"/>
            <w:tcBorders>
              <w:top w:val="nil"/>
              <w:left w:val="single" w:color="auto" w:sz="8" w:space="0"/>
              <w:bottom w:val="single" w:color="auto" w:sz="8" w:space="0"/>
              <w:right w:val="single" w:color="auto" w:sz="8" w:space="0"/>
            </w:tcBorders>
            <w:vAlign w:val="center"/>
          </w:tcPr>
          <w:p w14:paraId="66FBE6B8">
            <w:pPr>
              <w:widowControl/>
              <w:numPr>
                <w:ilvl w:val="0"/>
                <w:numId w:val="15"/>
              </w:numPr>
              <w:adjustRightInd w:val="0"/>
              <w:snapToGrid w:val="0"/>
              <w:jc w:val="center"/>
              <w:rPr>
                <w:rFonts w:ascii="微软雅黑" w:hAnsi="微软雅黑" w:eastAsia="微软雅黑"/>
                <w:szCs w:val="21"/>
              </w:rPr>
            </w:pPr>
          </w:p>
        </w:tc>
        <w:tc>
          <w:tcPr>
            <w:tcW w:w="1512" w:type="dxa"/>
            <w:tcBorders>
              <w:top w:val="nil"/>
              <w:left w:val="nil"/>
              <w:bottom w:val="single" w:color="auto" w:sz="8" w:space="0"/>
              <w:right w:val="single" w:color="auto" w:sz="8" w:space="0"/>
            </w:tcBorders>
            <w:vAlign w:val="center"/>
          </w:tcPr>
          <w:p w14:paraId="0B9918A3">
            <w:pPr>
              <w:spacing w:line="240" w:lineRule="auto"/>
              <w:jc w:val="center"/>
              <w:rPr>
                <w:rFonts w:ascii="微软雅黑" w:hAnsi="微软雅黑" w:eastAsia="微软雅黑"/>
                <w:szCs w:val="21"/>
              </w:rPr>
            </w:pPr>
            <w:r>
              <w:rPr>
                <w:rFonts w:hint="eastAsia" w:ascii="微软雅黑" w:hAnsi="微软雅黑" w:eastAsia="微软雅黑"/>
                <w:szCs w:val="21"/>
              </w:rPr>
              <w:t>学术、科研技术实力</w:t>
            </w:r>
          </w:p>
        </w:tc>
        <w:tc>
          <w:tcPr>
            <w:tcW w:w="6159" w:type="dxa"/>
            <w:tcBorders>
              <w:top w:val="single" w:color="auto" w:sz="8" w:space="0"/>
              <w:left w:val="nil"/>
              <w:bottom w:val="single" w:color="auto" w:sz="8" w:space="0"/>
              <w:right w:val="single" w:color="auto" w:sz="8" w:space="0"/>
            </w:tcBorders>
            <w:vAlign w:val="center"/>
          </w:tcPr>
          <w:p w14:paraId="0B212663">
            <w:pPr>
              <w:widowControl/>
              <w:adjustRightInd w:val="0"/>
              <w:snapToGrid w:val="0"/>
              <w:jc w:val="left"/>
              <w:rPr>
                <w:rFonts w:ascii="微软雅黑" w:hAnsi="微软雅黑" w:eastAsia="微软雅黑"/>
                <w:szCs w:val="21"/>
              </w:rPr>
            </w:pPr>
            <w:r>
              <w:rPr>
                <w:rFonts w:hint="eastAsia" w:ascii="微软雅黑" w:hAnsi="微软雅黑" w:eastAsia="微软雅黑"/>
                <w:szCs w:val="21"/>
              </w:rPr>
              <w:t>供应商</w:t>
            </w:r>
            <w:r>
              <w:rPr>
                <w:rFonts w:hint="eastAsia" w:ascii="微软雅黑" w:hAnsi="微软雅黑" w:eastAsia="微软雅黑"/>
                <w:szCs w:val="21"/>
                <w:lang w:eastAsia="zh-CN"/>
              </w:rPr>
              <w:t>近</w:t>
            </w:r>
            <w:r>
              <w:rPr>
                <w:rFonts w:hint="eastAsia" w:ascii="微软雅黑" w:hAnsi="微软雅黑" w:eastAsia="微软雅黑"/>
                <w:szCs w:val="21"/>
                <w:lang w:val="en-US" w:eastAsia="zh-CN"/>
              </w:rPr>
              <w:t>3年</w:t>
            </w:r>
            <w:r>
              <w:rPr>
                <w:rFonts w:hint="eastAsia" w:ascii="微软雅黑" w:hAnsi="微软雅黑" w:eastAsia="微软雅黑"/>
                <w:szCs w:val="21"/>
              </w:rPr>
              <w:t>获得省级或以上科研项目立项的，</w:t>
            </w:r>
            <w:r>
              <w:rPr>
                <w:rFonts w:hint="eastAsia" w:ascii="微软雅黑" w:hAnsi="微软雅黑" w:eastAsia="微软雅黑"/>
                <w:szCs w:val="21"/>
                <w:lang w:eastAsia="zh-CN"/>
              </w:rPr>
              <w:t>一项</w:t>
            </w:r>
            <w:r>
              <w:rPr>
                <w:rFonts w:hint="eastAsia" w:ascii="微软雅黑" w:hAnsi="微软雅黑" w:eastAsia="微软雅黑"/>
                <w:szCs w:val="21"/>
              </w:rPr>
              <w:t>得</w:t>
            </w:r>
            <w:r>
              <w:rPr>
                <w:rFonts w:hint="eastAsia" w:ascii="微软雅黑" w:hAnsi="微软雅黑" w:eastAsia="微软雅黑"/>
                <w:szCs w:val="21"/>
                <w:lang w:val="en-US" w:eastAsia="zh-CN"/>
              </w:rPr>
              <w:t>1</w:t>
            </w:r>
            <w:r>
              <w:rPr>
                <w:rFonts w:hint="eastAsia" w:ascii="微软雅黑" w:hAnsi="微软雅黑" w:eastAsia="微软雅黑"/>
                <w:szCs w:val="21"/>
              </w:rPr>
              <w:t>分，</w:t>
            </w:r>
            <w:r>
              <w:rPr>
                <w:rFonts w:hint="eastAsia" w:ascii="微软雅黑" w:hAnsi="微软雅黑" w:eastAsia="微软雅黑"/>
                <w:szCs w:val="21"/>
                <w:lang w:eastAsia="zh-CN"/>
              </w:rPr>
              <w:t>满分</w:t>
            </w:r>
            <w:r>
              <w:rPr>
                <w:rFonts w:hint="eastAsia" w:ascii="微软雅黑" w:hAnsi="微软雅黑" w:eastAsia="微软雅黑"/>
                <w:szCs w:val="21"/>
                <w:lang w:val="en-US" w:eastAsia="zh-CN"/>
              </w:rPr>
              <w:t>5分。</w:t>
            </w:r>
          </w:p>
          <w:p w14:paraId="58AF974E">
            <w:pPr>
              <w:widowControl/>
              <w:numPr>
                <w:ilvl w:val="0"/>
                <w:numId w:val="0"/>
              </w:numPr>
              <w:adjustRightInd w:val="0"/>
              <w:snapToGrid w:val="0"/>
              <w:ind w:leftChars="0"/>
              <w:jc w:val="left"/>
              <w:rPr>
                <w:rFonts w:ascii="微软雅黑" w:hAnsi="微软雅黑" w:eastAsia="微软雅黑" w:cs="宋体"/>
                <w:szCs w:val="21"/>
              </w:rPr>
            </w:pPr>
            <w:r>
              <w:rPr>
                <w:rFonts w:hint="eastAsia" w:ascii="微软雅黑" w:hAnsi="微软雅黑" w:eastAsia="微软雅黑"/>
                <w:b/>
                <w:kern w:val="0"/>
                <w:szCs w:val="21"/>
              </w:rPr>
              <w:t>注：提供</w:t>
            </w:r>
            <w:r>
              <w:rPr>
                <w:rFonts w:hint="eastAsia" w:ascii="微软雅黑" w:hAnsi="微软雅黑" w:eastAsia="微软雅黑"/>
                <w:b/>
                <w:szCs w:val="21"/>
              </w:rPr>
              <w:t>相关证明文件</w:t>
            </w:r>
            <w:r>
              <w:rPr>
                <w:rFonts w:hint="eastAsia" w:ascii="微软雅黑" w:hAnsi="微软雅黑" w:eastAsia="微软雅黑"/>
                <w:b/>
                <w:kern w:val="0"/>
                <w:szCs w:val="21"/>
              </w:rPr>
              <w:t>加盖供应商公章，不提供的不得分。</w:t>
            </w:r>
          </w:p>
        </w:tc>
        <w:tc>
          <w:tcPr>
            <w:tcW w:w="1028" w:type="dxa"/>
            <w:tcBorders>
              <w:top w:val="single" w:color="auto" w:sz="8" w:space="0"/>
              <w:left w:val="single" w:color="auto" w:sz="4" w:space="0"/>
              <w:bottom w:val="single" w:color="auto" w:sz="8" w:space="0"/>
              <w:right w:val="single" w:color="auto" w:sz="8" w:space="0"/>
            </w:tcBorders>
            <w:vAlign w:val="center"/>
          </w:tcPr>
          <w:p w14:paraId="763409D5">
            <w:pPr>
              <w:ind w:left="-78" w:leftChars="-37" w:right="-73" w:rightChars="-35"/>
              <w:jc w:val="center"/>
              <w:rPr>
                <w:rFonts w:ascii="微软雅黑" w:hAnsi="微软雅黑" w:eastAsia="微软雅黑"/>
                <w:szCs w:val="21"/>
              </w:rPr>
            </w:pPr>
            <w:r>
              <w:rPr>
                <w:rFonts w:hint="eastAsia" w:ascii="微软雅黑" w:hAnsi="微软雅黑" w:eastAsia="微软雅黑"/>
                <w:szCs w:val="21"/>
              </w:rPr>
              <w:t>5分</w:t>
            </w:r>
          </w:p>
        </w:tc>
      </w:tr>
      <w:tr w14:paraId="1B8772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50" w:hRule="atLeast"/>
          <w:jc w:val="center"/>
        </w:trPr>
        <w:tc>
          <w:tcPr>
            <w:tcW w:w="703" w:type="dxa"/>
            <w:tcBorders>
              <w:top w:val="nil"/>
              <w:left w:val="single" w:color="auto" w:sz="8" w:space="0"/>
              <w:bottom w:val="single" w:color="auto" w:sz="8" w:space="0"/>
              <w:right w:val="single" w:color="auto" w:sz="8" w:space="0"/>
            </w:tcBorders>
            <w:vAlign w:val="center"/>
          </w:tcPr>
          <w:p w14:paraId="2B426B9D">
            <w:pPr>
              <w:widowControl/>
              <w:jc w:val="left"/>
              <w:rPr>
                <w:rFonts w:ascii="微软雅黑" w:hAnsi="微软雅黑" w:eastAsia="微软雅黑" w:cs="Times"/>
                <w:szCs w:val="21"/>
              </w:rPr>
            </w:pPr>
          </w:p>
        </w:tc>
        <w:tc>
          <w:tcPr>
            <w:tcW w:w="1512" w:type="dxa"/>
            <w:tcBorders>
              <w:top w:val="nil"/>
              <w:left w:val="nil"/>
              <w:bottom w:val="single" w:color="auto" w:sz="8" w:space="0"/>
              <w:right w:val="single" w:color="auto" w:sz="8" w:space="0"/>
            </w:tcBorders>
            <w:vAlign w:val="center"/>
          </w:tcPr>
          <w:p w14:paraId="2F02CABE">
            <w:pPr>
              <w:rPr>
                <w:rFonts w:ascii="微软雅黑" w:hAnsi="微软雅黑" w:eastAsia="微软雅黑" w:cs="Times"/>
                <w:strike/>
                <w:szCs w:val="21"/>
              </w:rPr>
            </w:pPr>
            <w:r>
              <w:rPr>
                <w:rFonts w:hint="eastAsia" w:ascii="微软雅黑" w:hAnsi="微软雅黑" w:eastAsia="微软雅黑"/>
                <w:kern w:val="0"/>
                <w:szCs w:val="21"/>
              </w:rPr>
              <w:t>综合实力（提供相关证明文件复印件并加盖供应商公章，不提供的不得分。）</w:t>
            </w:r>
          </w:p>
        </w:tc>
        <w:tc>
          <w:tcPr>
            <w:tcW w:w="6159" w:type="dxa"/>
            <w:tcBorders>
              <w:top w:val="single" w:color="auto" w:sz="8" w:space="0"/>
              <w:left w:val="nil"/>
              <w:bottom w:val="single" w:color="auto" w:sz="8" w:space="0"/>
              <w:right w:val="single" w:color="auto" w:sz="8" w:space="0"/>
            </w:tcBorders>
            <w:vAlign w:val="center"/>
          </w:tcPr>
          <w:p w14:paraId="6003BC6F">
            <w:pPr>
              <w:widowControl/>
              <w:numPr>
                <w:ilvl w:val="0"/>
                <w:numId w:val="0"/>
              </w:numPr>
              <w:adjustRightInd w:val="0"/>
              <w:snapToGrid w:val="0"/>
              <w:ind w:leftChars="0"/>
              <w:jc w:val="left"/>
              <w:rPr>
                <w:rFonts w:hint="eastAsia" w:ascii="微软雅黑" w:hAnsi="微软雅黑" w:eastAsia="微软雅黑" w:cs="宋体"/>
                <w:szCs w:val="21"/>
                <w:lang w:val="en-US" w:eastAsia="zh-CN"/>
              </w:rPr>
            </w:pPr>
            <w:r>
              <w:rPr>
                <w:rFonts w:hint="eastAsia" w:ascii="微软雅黑" w:hAnsi="微软雅黑" w:eastAsia="微软雅黑" w:cs="宋体"/>
                <w:szCs w:val="21"/>
                <w:lang w:eastAsia="zh-CN"/>
              </w:rPr>
              <w:t>其它可证明该实验室能力技术等方面的认证、资质证明，提供一项加一分，满分</w:t>
            </w:r>
            <w:r>
              <w:rPr>
                <w:rFonts w:hint="eastAsia" w:ascii="微软雅黑" w:hAnsi="微软雅黑" w:eastAsia="微软雅黑" w:cs="宋体"/>
                <w:szCs w:val="21"/>
                <w:lang w:val="en-US" w:eastAsia="zh-CN"/>
              </w:rPr>
              <w:t>10分。</w:t>
            </w:r>
          </w:p>
          <w:p w14:paraId="428DFA02">
            <w:pPr>
              <w:widowControl/>
              <w:numPr>
                <w:ilvl w:val="0"/>
                <w:numId w:val="0"/>
              </w:numPr>
              <w:adjustRightInd w:val="0"/>
              <w:snapToGrid w:val="0"/>
              <w:ind w:leftChars="0"/>
              <w:jc w:val="left"/>
              <w:rPr>
                <w:rFonts w:hint="eastAsia" w:ascii="微软雅黑" w:hAnsi="微软雅黑" w:eastAsia="微软雅黑" w:cs="宋体"/>
                <w:szCs w:val="21"/>
                <w:lang w:val="en-US" w:eastAsia="zh-CN"/>
              </w:rPr>
            </w:pPr>
            <w:r>
              <w:rPr>
                <w:rFonts w:hint="eastAsia" w:ascii="微软雅黑" w:hAnsi="微软雅黑" w:eastAsia="微软雅黑"/>
                <w:b/>
                <w:kern w:val="0"/>
                <w:szCs w:val="21"/>
              </w:rPr>
              <w:t>注：提供</w:t>
            </w:r>
            <w:r>
              <w:rPr>
                <w:rFonts w:hint="eastAsia" w:ascii="微软雅黑" w:hAnsi="微软雅黑" w:eastAsia="微软雅黑"/>
                <w:b/>
                <w:szCs w:val="21"/>
              </w:rPr>
              <w:t>相关证明文件</w:t>
            </w:r>
            <w:r>
              <w:rPr>
                <w:rFonts w:hint="eastAsia" w:ascii="微软雅黑" w:hAnsi="微软雅黑" w:eastAsia="微软雅黑"/>
                <w:b/>
                <w:kern w:val="0"/>
                <w:szCs w:val="21"/>
              </w:rPr>
              <w:t>加盖供应商公章，不提供的不得分。</w:t>
            </w:r>
          </w:p>
        </w:tc>
        <w:tc>
          <w:tcPr>
            <w:tcW w:w="1028" w:type="dxa"/>
            <w:tcBorders>
              <w:top w:val="single" w:color="auto" w:sz="8" w:space="0"/>
              <w:left w:val="single" w:color="auto" w:sz="4" w:space="0"/>
              <w:bottom w:val="single" w:color="auto" w:sz="8" w:space="0"/>
              <w:right w:val="single" w:color="auto" w:sz="8" w:space="0"/>
            </w:tcBorders>
            <w:vAlign w:val="center"/>
          </w:tcPr>
          <w:p w14:paraId="23380F1C">
            <w:pPr>
              <w:ind w:left="-78" w:leftChars="-37" w:right="-73" w:rightChars="-35"/>
              <w:jc w:val="center"/>
              <w:rPr>
                <w:rFonts w:ascii="微软雅黑" w:hAnsi="微软雅黑" w:eastAsia="微软雅黑"/>
                <w:szCs w:val="21"/>
              </w:rPr>
            </w:pPr>
            <w:r>
              <w:rPr>
                <w:rFonts w:hint="eastAsia" w:ascii="微软雅黑" w:hAnsi="微软雅黑" w:eastAsia="微软雅黑"/>
                <w:szCs w:val="21"/>
                <w:lang w:val="en-US" w:eastAsia="zh-CN"/>
              </w:rPr>
              <w:t>10</w:t>
            </w:r>
            <w:r>
              <w:rPr>
                <w:rFonts w:hint="eastAsia" w:ascii="微软雅黑" w:hAnsi="微软雅黑" w:eastAsia="微软雅黑"/>
                <w:szCs w:val="21"/>
              </w:rPr>
              <w:t>分</w:t>
            </w:r>
          </w:p>
        </w:tc>
      </w:tr>
      <w:tr w14:paraId="1B817A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0" w:hRule="atLeast"/>
          <w:jc w:val="center"/>
        </w:trPr>
        <w:tc>
          <w:tcPr>
            <w:tcW w:w="703" w:type="dxa"/>
            <w:tcBorders>
              <w:top w:val="single" w:color="auto" w:sz="8" w:space="0"/>
              <w:left w:val="single" w:color="auto" w:sz="8" w:space="0"/>
              <w:bottom w:val="single" w:color="auto" w:sz="4" w:space="0"/>
              <w:right w:val="single" w:color="auto" w:sz="8" w:space="0"/>
            </w:tcBorders>
            <w:vAlign w:val="center"/>
          </w:tcPr>
          <w:p w14:paraId="4D838DDF">
            <w:pPr>
              <w:widowControl/>
              <w:numPr>
                <w:ilvl w:val="0"/>
                <w:numId w:val="15"/>
              </w:numPr>
              <w:adjustRightInd w:val="0"/>
              <w:snapToGrid w:val="0"/>
              <w:jc w:val="center"/>
              <w:rPr>
                <w:rFonts w:ascii="微软雅黑" w:hAnsi="微软雅黑" w:eastAsia="微软雅黑"/>
                <w:szCs w:val="21"/>
              </w:rPr>
            </w:pPr>
          </w:p>
        </w:tc>
        <w:tc>
          <w:tcPr>
            <w:tcW w:w="1512" w:type="dxa"/>
            <w:tcBorders>
              <w:top w:val="single" w:color="auto" w:sz="8" w:space="0"/>
              <w:left w:val="nil"/>
              <w:bottom w:val="single" w:color="auto" w:sz="8" w:space="0"/>
              <w:right w:val="single" w:color="auto" w:sz="8" w:space="0"/>
            </w:tcBorders>
            <w:vAlign w:val="center"/>
          </w:tcPr>
          <w:p w14:paraId="2A0D5103">
            <w:pPr>
              <w:jc w:val="center"/>
              <w:rPr>
                <w:rFonts w:ascii="微软雅黑" w:hAnsi="微软雅黑" w:eastAsia="微软雅黑"/>
                <w:szCs w:val="21"/>
              </w:rPr>
            </w:pPr>
            <w:r>
              <w:rPr>
                <w:rFonts w:hint="eastAsia" w:ascii="微软雅黑" w:hAnsi="微软雅黑" w:eastAsia="微软雅黑"/>
                <w:szCs w:val="21"/>
              </w:rPr>
              <w:t>同类项目业绩</w:t>
            </w:r>
          </w:p>
        </w:tc>
        <w:tc>
          <w:tcPr>
            <w:tcW w:w="6159" w:type="dxa"/>
            <w:tcBorders>
              <w:top w:val="single" w:color="auto" w:sz="8" w:space="0"/>
              <w:left w:val="nil"/>
              <w:bottom w:val="single" w:color="auto" w:sz="8" w:space="0"/>
              <w:right w:val="single" w:color="auto" w:sz="8" w:space="0"/>
            </w:tcBorders>
            <w:vAlign w:val="center"/>
          </w:tcPr>
          <w:p w14:paraId="0F8FB1E9">
            <w:pPr>
              <w:widowControl/>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根据供应商在近三年内具有为不同的委托单位进行检验检查外送服务同类项目的业绩，每提供一份有效合同得</w:t>
            </w:r>
            <w:r>
              <w:rPr>
                <w:rFonts w:ascii="微软雅黑" w:hAnsi="微软雅黑" w:eastAsia="微软雅黑"/>
                <w:kern w:val="0"/>
                <w:szCs w:val="21"/>
              </w:rPr>
              <w:t>1</w:t>
            </w:r>
            <w:r>
              <w:rPr>
                <w:rFonts w:hint="eastAsia" w:ascii="微软雅黑" w:hAnsi="微软雅黑" w:eastAsia="微软雅黑"/>
                <w:kern w:val="0"/>
                <w:szCs w:val="21"/>
              </w:rPr>
              <w:t>分，最多得</w:t>
            </w:r>
            <w:r>
              <w:rPr>
                <w:rFonts w:hint="eastAsia" w:ascii="微软雅黑" w:hAnsi="微软雅黑" w:eastAsia="微软雅黑"/>
                <w:kern w:val="0"/>
                <w:szCs w:val="21"/>
                <w:lang w:val="en-US" w:eastAsia="zh-CN"/>
              </w:rPr>
              <w:t>5</w:t>
            </w:r>
            <w:r>
              <w:rPr>
                <w:rFonts w:hint="eastAsia" w:ascii="微软雅黑" w:hAnsi="微软雅黑" w:eastAsia="微软雅黑"/>
                <w:kern w:val="0"/>
                <w:szCs w:val="21"/>
              </w:rPr>
              <w:t>分。</w:t>
            </w:r>
          </w:p>
          <w:p w14:paraId="021D3EA7">
            <w:pPr>
              <w:widowControl/>
              <w:adjustRightInd w:val="0"/>
              <w:snapToGrid w:val="0"/>
              <w:jc w:val="left"/>
              <w:rPr>
                <w:rFonts w:ascii="微软雅黑" w:hAnsi="微软雅黑" w:eastAsia="微软雅黑"/>
                <w:strike/>
                <w:color w:val="FF0000"/>
                <w:szCs w:val="21"/>
              </w:rPr>
            </w:pPr>
            <w:r>
              <w:rPr>
                <w:rFonts w:hint="eastAsia" w:ascii="微软雅黑" w:hAnsi="微软雅黑" w:eastAsia="微软雅黑"/>
                <w:kern w:val="0"/>
                <w:szCs w:val="21"/>
              </w:rPr>
              <w:t>注：同一家单位的合同不重复计分。需提供合同关键页（含签订合同双方的单位名称、合同项目名称与含签订合同双方的落款盖章、签订日期的关键页）复印件并加盖供应商公章作为证明材料，不提供的不得分。</w:t>
            </w:r>
          </w:p>
        </w:tc>
        <w:tc>
          <w:tcPr>
            <w:tcW w:w="1028" w:type="dxa"/>
            <w:tcBorders>
              <w:top w:val="single" w:color="auto" w:sz="8" w:space="0"/>
              <w:left w:val="single" w:color="auto" w:sz="4" w:space="0"/>
              <w:bottom w:val="single" w:color="auto" w:sz="8" w:space="0"/>
              <w:right w:val="single" w:color="auto" w:sz="8" w:space="0"/>
            </w:tcBorders>
            <w:vAlign w:val="center"/>
          </w:tcPr>
          <w:p w14:paraId="1CA8A9DA">
            <w:pPr>
              <w:jc w:val="center"/>
              <w:rPr>
                <w:rFonts w:hint="eastAsia" w:ascii="微软雅黑" w:hAnsi="微软雅黑" w:eastAsia="微软雅黑"/>
                <w:szCs w:val="21"/>
                <w:lang w:val="en-US" w:eastAsia="zh-CN"/>
              </w:rPr>
            </w:pPr>
            <w:r>
              <w:rPr>
                <w:rFonts w:hint="eastAsia" w:ascii="微软雅黑" w:hAnsi="微软雅黑" w:eastAsia="微软雅黑"/>
                <w:szCs w:val="21"/>
                <w:lang w:val="en-US" w:eastAsia="zh-CN"/>
              </w:rPr>
              <w:t>5分</w:t>
            </w:r>
          </w:p>
        </w:tc>
      </w:tr>
      <w:tr w14:paraId="2B5417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6" w:hRule="atLeast"/>
          <w:jc w:val="center"/>
        </w:trPr>
        <w:tc>
          <w:tcPr>
            <w:tcW w:w="9402" w:type="dxa"/>
            <w:gridSpan w:val="4"/>
            <w:tcBorders>
              <w:top w:val="single" w:color="auto" w:sz="4" w:space="0"/>
              <w:left w:val="single" w:color="auto" w:sz="8" w:space="0"/>
              <w:bottom w:val="single" w:color="auto" w:sz="8" w:space="0"/>
              <w:right w:val="single" w:color="auto" w:sz="8" w:space="0"/>
            </w:tcBorders>
            <w:vAlign w:val="center"/>
          </w:tcPr>
          <w:p w14:paraId="53E32268">
            <w:pPr>
              <w:ind w:left="-78" w:leftChars="-37" w:right="-73" w:rightChars="-35"/>
              <w:jc w:val="center"/>
              <w:rPr>
                <w:rFonts w:ascii="微软雅黑" w:hAnsi="微软雅黑" w:eastAsia="微软雅黑"/>
                <w:b/>
                <w:bCs/>
                <w:szCs w:val="21"/>
              </w:rPr>
            </w:pPr>
            <w:r>
              <w:rPr>
                <w:rFonts w:hint="eastAsia" w:ascii="微软雅黑" w:hAnsi="微软雅黑" w:eastAsia="微软雅黑"/>
                <w:b/>
                <w:bCs/>
                <w:szCs w:val="21"/>
              </w:rPr>
              <w:t>价格部分（满分</w:t>
            </w:r>
            <w:r>
              <w:rPr>
                <w:rFonts w:hint="eastAsia" w:ascii="微软雅黑" w:hAnsi="微软雅黑" w:eastAsia="微软雅黑"/>
                <w:b/>
                <w:bCs/>
                <w:szCs w:val="21"/>
                <w:lang w:val="en-US" w:eastAsia="zh-CN"/>
              </w:rPr>
              <w:t>20</w:t>
            </w:r>
            <w:r>
              <w:rPr>
                <w:rFonts w:hint="eastAsia" w:ascii="微软雅黑" w:hAnsi="微软雅黑" w:eastAsia="微软雅黑"/>
                <w:b/>
                <w:bCs/>
                <w:szCs w:val="21"/>
              </w:rPr>
              <w:t>分）</w:t>
            </w:r>
          </w:p>
        </w:tc>
      </w:tr>
      <w:tr w14:paraId="7FADA1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00" w:hRule="atLeast"/>
          <w:jc w:val="center"/>
        </w:trPr>
        <w:tc>
          <w:tcPr>
            <w:tcW w:w="703" w:type="dxa"/>
            <w:tcBorders>
              <w:top w:val="single" w:color="auto" w:sz="8" w:space="0"/>
              <w:left w:val="single" w:color="auto" w:sz="8" w:space="0"/>
              <w:bottom w:val="single" w:color="auto" w:sz="8" w:space="0"/>
              <w:right w:val="single" w:color="auto" w:sz="8" w:space="0"/>
            </w:tcBorders>
            <w:vAlign w:val="center"/>
          </w:tcPr>
          <w:p w14:paraId="41E58443">
            <w:pPr>
              <w:jc w:val="center"/>
              <w:rPr>
                <w:rFonts w:ascii="微软雅黑" w:hAnsi="微软雅黑" w:eastAsia="微软雅黑"/>
                <w:szCs w:val="21"/>
              </w:rPr>
            </w:pPr>
            <w:r>
              <w:rPr>
                <w:rFonts w:hint="eastAsia" w:ascii="微软雅黑" w:hAnsi="微软雅黑" w:eastAsia="微软雅黑"/>
                <w:szCs w:val="21"/>
              </w:rPr>
              <w:t>1</w:t>
            </w:r>
          </w:p>
        </w:tc>
        <w:tc>
          <w:tcPr>
            <w:tcW w:w="1512" w:type="dxa"/>
            <w:tcBorders>
              <w:top w:val="single" w:color="auto" w:sz="8" w:space="0"/>
              <w:left w:val="nil"/>
              <w:bottom w:val="single" w:color="auto" w:sz="8" w:space="0"/>
              <w:right w:val="single" w:color="auto" w:sz="8" w:space="0"/>
            </w:tcBorders>
            <w:vAlign w:val="center"/>
          </w:tcPr>
          <w:p w14:paraId="4F4A5815">
            <w:pPr>
              <w:widowControl/>
              <w:adjustRightInd w:val="0"/>
              <w:snapToGrid w:val="0"/>
              <w:jc w:val="center"/>
              <w:rPr>
                <w:rFonts w:ascii="微软雅黑" w:hAnsi="微软雅黑" w:eastAsia="微软雅黑"/>
                <w:kern w:val="0"/>
                <w:szCs w:val="21"/>
              </w:rPr>
            </w:pPr>
            <w:r>
              <w:rPr>
                <w:rFonts w:hint="eastAsia" w:ascii="微软雅黑" w:hAnsi="微软雅黑" w:eastAsia="微软雅黑"/>
                <w:kern w:val="0"/>
                <w:szCs w:val="21"/>
              </w:rPr>
              <w:t>投标报价</w:t>
            </w:r>
          </w:p>
        </w:tc>
        <w:tc>
          <w:tcPr>
            <w:tcW w:w="6159" w:type="dxa"/>
            <w:tcBorders>
              <w:top w:val="single" w:color="auto" w:sz="8" w:space="0"/>
              <w:left w:val="nil"/>
              <w:bottom w:val="single" w:color="auto" w:sz="8" w:space="0"/>
              <w:right w:val="single" w:color="auto" w:sz="8" w:space="0"/>
            </w:tcBorders>
            <w:vAlign w:val="center"/>
          </w:tcPr>
          <w:p w14:paraId="7A96EB8A">
            <w:pPr>
              <w:widowControl/>
              <w:adjustRightInd w:val="0"/>
              <w:snapToGrid w:val="0"/>
              <w:jc w:val="left"/>
              <w:rPr>
                <w:rFonts w:ascii="微软雅黑" w:hAnsi="微软雅黑" w:eastAsia="微软雅黑"/>
                <w:szCs w:val="21"/>
              </w:rPr>
            </w:pPr>
            <w:r>
              <w:rPr>
                <w:rFonts w:hint="eastAsia" w:ascii="微软雅黑" w:hAnsi="微软雅黑" w:eastAsia="微软雅黑"/>
                <w:szCs w:val="21"/>
              </w:rPr>
              <w:t>价格分应当采用低价优先法计算，即满足招标文件要求且投标价格最低的投标报价为评标基准价，其价格分为满分。其他供应商的价格分统一按照下列公式计算：</w:t>
            </w:r>
          </w:p>
          <w:p w14:paraId="18986226">
            <w:pPr>
              <w:widowControl/>
              <w:adjustRightInd w:val="0"/>
              <w:snapToGrid w:val="0"/>
              <w:jc w:val="left"/>
              <w:rPr>
                <w:rFonts w:hint="default" w:ascii="微软雅黑" w:hAnsi="微软雅黑" w:eastAsia="微软雅黑"/>
                <w:kern w:val="0"/>
                <w:szCs w:val="21"/>
                <w:lang w:val="en-US" w:eastAsia="zh-CN"/>
              </w:rPr>
            </w:pPr>
            <w:r>
              <w:rPr>
                <w:rFonts w:hint="eastAsia" w:ascii="微软雅黑" w:hAnsi="微软雅黑" w:eastAsia="微软雅黑"/>
                <w:kern w:val="0"/>
                <w:szCs w:val="21"/>
              </w:rPr>
              <w:t>投标报价</w:t>
            </w:r>
            <w:r>
              <w:rPr>
                <w:rFonts w:hint="eastAsia" w:ascii="微软雅黑" w:hAnsi="微软雅黑" w:eastAsia="微软雅黑" w:cs="宋体"/>
                <w:szCs w:val="21"/>
              </w:rPr>
              <w:t>得分</w:t>
            </w:r>
            <w:r>
              <w:rPr>
                <w:rFonts w:ascii="微软雅黑" w:hAnsi="微软雅黑" w:eastAsia="微软雅黑" w:cs="宋体"/>
                <w:szCs w:val="21"/>
              </w:rPr>
              <w:t>=</w:t>
            </w:r>
            <w:r>
              <w:rPr>
                <w:rFonts w:hint="eastAsia" w:ascii="微软雅黑" w:hAnsi="微软雅黑" w:eastAsia="微软雅黑" w:cs="宋体"/>
                <w:szCs w:val="21"/>
              </w:rPr>
              <w:t>（评标基准价／</w:t>
            </w:r>
            <w:r>
              <w:rPr>
                <w:rFonts w:hint="eastAsia" w:ascii="微软雅黑" w:hAnsi="微软雅黑" w:eastAsia="微软雅黑"/>
                <w:kern w:val="0"/>
                <w:szCs w:val="21"/>
              </w:rPr>
              <w:t>投标报价</w:t>
            </w:r>
            <w:r>
              <w:rPr>
                <w:rFonts w:hint="eastAsia" w:ascii="微软雅黑" w:hAnsi="微软雅黑" w:eastAsia="微软雅黑" w:cs="宋体"/>
                <w:szCs w:val="21"/>
              </w:rPr>
              <w:t>）×100%×</w:t>
            </w:r>
            <w:r>
              <w:rPr>
                <w:rFonts w:hint="eastAsia" w:ascii="微软雅黑" w:hAnsi="微软雅黑" w:eastAsia="微软雅黑" w:cs="宋体"/>
                <w:szCs w:val="21"/>
                <w:lang w:val="en-US" w:eastAsia="zh-CN"/>
              </w:rPr>
              <w:t>20</w:t>
            </w:r>
          </w:p>
          <w:p w14:paraId="0C086D3C">
            <w:pPr>
              <w:widowControl/>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备注：</w:t>
            </w:r>
          </w:p>
          <w:p w14:paraId="1B6F5EAE">
            <w:pPr>
              <w:widowControl/>
              <w:adjustRightInd w:val="0"/>
              <w:snapToGrid w:val="0"/>
              <w:jc w:val="left"/>
              <w:rPr>
                <w:rFonts w:ascii="微软雅黑" w:hAnsi="微软雅黑" w:eastAsia="微软雅黑"/>
                <w:kern w:val="0"/>
                <w:szCs w:val="21"/>
              </w:rPr>
            </w:pPr>
            <w:r>
              <w:rPr>
                <w:rFonts w:hint="eastAsia" w:ascii="微软雅黑" w:hAnsi="微软雅黑" w:eastAsia="微软雅黑"/>
                <w:kern w:val="0"/>
                <w:szCs w:val="21"/>
              </w:rPr>
              <w:t>1.投标报价得分四舍五入后，小数点后保留两位有效数；</w:t>
            </w:r>
          </w:p>
          <w:p w14:paraId="5B3466AF">
            <w:pPr>
              <w:widowControl/>
              <w:adjustRightInd w:val="0"/>
              <w:snapToGrid w:val="0"/>
              <w:jc w:val="left"/>
              <w:rPr>
                <w:rFonts w:ascii="微软雅黑" w:hAnsi="微软雅黑" w:eastAsia="微软雅黑"/>
                <w:kern w:val="0"/>
                <w:szCs w:val="21"/>
              </w:rPr>
            </w:pPr>
            <w:r>
              <w:rPr>
                <w:rFonts w:hint="eastAsia" w:ascii="微软雅黑" w:hAnsi="微软雅黑" w:eastAsia="微软雅黑"/>
                <w:b/>
                <w:bCs/>
                <w:kern w:val="0"/>
                <w:szCs w:val="21"/>
                <w:u w:val="double"/>
              </w:rPr>
              <w:t>2.投标报价以</w:t>
            </w:r>
            <w:r>
              <w:rPr>
                <w:rFonts w:hint="eastAsia" w:ascii="微软雅黑" w:hAnsi="微软雅黑" w:eastAsia="微软雅黑"/>
                <w:b/>
                <w:bCs/>
                <w:color w:val="000000" w:themeColor="text1"/>
                <w:kern w:val="0"/>
                <w:szCs w:val="21"/>
                <w:u w:val="double"/>
                <w14:textFill>
                  <w14:solidFill>
                    <w14:schemeClr w14:val="tx1"/>
                  </w14:solidFill>
                </w14:textFill>
              </w:rPr>
              <w:t>“投标折扣率”</w:t>
            </w:r>
            <w:r>
              <w:rPr>
                <w:rFonts w:hint="eastAsia" w:ascii="微软雅黑" w:hAnsi="微软雅黑" w:eastAsia="微软雅黑"/>
                <w:b/>
                <w:bCs/>
                <w:kern w:val="0"/>
                <w:szCs w:val="21"/>
                <w:u w:val="double"/>
              </w:rPr>
              <w:t>进行价格评分的计算。</w:t>
            </w:r>
          </w:p>
        </w:tc>
        <w:tc>
          <w:tcPr>
            <w:tcW w:w="1028" w:type="dxa"/>
            <w:tcBorders>
              <w:top w:val="single" w:color="auto" w:sz="8" w:space="0"/>
              <w:left w:val="single" w:color="auto" w:sz="4" w:space="0"/>
              <w:bottom w:val="single" w:color="auto" w:sz="8" w:space="0"/>
              <w:right w:val="single" w:color="auto" w:sz="8" w:space="0"/>
            </w:tcBorders>
            <w:vAlign w:val="center"/>
          </w:tcPr>
          <w:p w14:paraId="56F71AC5">
            <w:pPr>
              <w:widowControl/>
              <w:adjustRightInd w:val="0"/>
              <w:snapToGrid w:val="0"/>
              <w:ind w:left="-78" w:leftChars="-37" w:right="-73" w:rightChars="-35"/>
              <w:jc w:val="center"/>
              <w:rPr>
                <w:rFonts w:ascii="微软雅黑" w:hAnsi="微软雅黑" w:eastAsia="微软雅黑"/>
                <w:kern w:val="0"/>
                <w:szCs w:val="21"/>
                <w:highlight w:val="yellow"/>
              </w:rPr>
            </w:pPr>
            <w:r>
              <w:rPr>
                <w:rFonts w:hint="eastAsia" w:ascii="微软雅黑" w:hAnsi="微软雅黑" w:eastAsia="微软雅黑"/>
                <w:kern w:val="0"/>
                <w:szCs w:val="21"/>
                <w:lang w:val="en-US" w:eastAsia="zh-CN"/>
              </w:rPr>
              <w:t>20</w:t>
            </w:r>
            <w:r>
              <w:rPr>
                <w:rFonts w:hint="eastAsia" w:ascii="微软雅黑" w:hAnsi="微软雅黑" w:eastAsia="微软雅黑"/>
                <w:kern w:val="0"/>
                <w:szCs w:val="21"/>
              </w:rPr>
              <w:t>分</w:t>
            </w:r>
          </w:p>
        </w:tc>
      </w:tr>
    </w:tbl>
    <w:p w14:paraId="252CD7DE">
      <w:pPr>
        <w:widowControl/>
        <w:spacing w:line="360" w:lineRule="auto"/>
        <w:rPr>
          <w:rFonts w:ascii="微软雅黑" w:hAnsi="微软雅黑" w:eastAsia="微软雅黑" w:cs="宋体"/>
          <w:color w:val="000000"/>
          <w:kern w:val="0"/>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BBB5A">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C4773FF">
                          <w:pPr>
                            <w:pStyle w:val="10"/>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2C4773FF">
                    <w:pPr>
                      <w:pStyle w:val="10"/>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5C4023"/>
    <w:multiLevelType w:val="singleLevel"/>
    <w:tmpl w:val="9A5C4023"/>
    <w:lvl w:ilvl="0" w:tentative="0">
      <w:start w:val="1"/>
      <w:numFmt w:val="decimal"/>
      <w:suff w:val="space"/>
      <w:lvlText w:val="%1)"/>
      <w:lvlJc w:val="left"/>
    </w:lvl>
  </w:abstractNum>
  <w:abstractNum w:abstractNumId="1">
    <w:nsid w:val="09745F11"/>
    <w:multiLevelType w:val="multilevel"/>
    <w:tmpl w:val="09745F11"/>
    <w:lvl w:ilvl="0" w:tentative="0">
      <w:start w:val="1"/>
      <w:numFmt w:val="decimal"/>
      <w:lvlText w:val="%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2">
    <w:nsid w:val="1D2B3182"/>
    <w:multiLevelType w:val="multilevel"/>
    <w:tmpl w:val="1D2B3182"/>
    <w:lvl w:ilvl="0" w:tentative="0">
      <w:start w:val="1"/>
      <w:numFmt w:val="decimal"/>
      <w:lvlText w:val="%1)"/>
      <w:lvlJc w:val="left"/>
      <w:pPr>
        <w:ind w:left="420" w:hanging="420"/>
      </w:pPr>
      <w:rPr>
        <w:rFonts w:hint="eastAsia" w:ascii="宋体" w:hAnsi="宋体" w:eastAsia="宋体"/>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3">
    <w:nsid w:val="1D631D7B"/>
    <w:multiLevelType w:val="multilevel"/>
    <w:tmpl w:val="1D631D7B"/>
    <w:lvl w:ilvl="0" w:tentative="0">
      <w:start w:val="1"/>
      <w:numFmt w:val="decimal"/>
      <w:lvlText w:val="%1"/>
      <w:lvlJc w:val="left"/>
      <w:pPr>
        <w:ind w:left="425" w:hanging="425"/>
      </w:pPr>
      <w:rPr>
        <w:rFonts w:hint="eastAsia" w:ascii="宋体" w:hAnsi="宋体" w:eastAsia="宋体"/>
        <w:b w:val="0"/>
        <w:i w:val="0"/>
        <w:sz w:val="44"/>
      </w:rPr>
    </w:lvl>
    <w:lvl w:ilvl="1" w:tentative="0">
      <w:start w:val="1"/>
      <w:numFmt w:val="decimal"/>
      <w:pStyle w:val="2"/>
      <w:suff w:val="space"/>
      <w:lvlText w:val="%1.%2"/>
      <w:lvlJc w:val="left"/>
      <w:pPr>
        <w:ind w:left="992" w:hanging="992"/>
      </w:pPr>
      <w:rPr>
        <w:rFonts w:hint="eastAsia" w:ascii="宋体" w:hAnsi="宋体" w:eastAsia="宋体"/>
        <w:b w:val="0"/>
        <w:i w:val="0"/>
        <w:sz w:val="36"/>
      </w:rPr>
    </w:lvl>
    <w:lvl w:ilvl="2" w:tentative="0">
      <w:start w:val="1"/>
      <w:numFmt w:val="decimal"/>
      <w:pStyle w:val="3"/>
      <w:suff w:val="space"/>
      <w:lvlText w:val="%1.%2.%3"/>
      <w:lvlJc w:val="left"/>
      <w:pPr>
        <w:ind w:left="1418" w:hanging="1418"/>
      </w:pPr>
      <w:rPr>
        <w:rFonts w:hint="eastAsia" w:ascii="宋体" w:hAnsi="宋体" w:eastAsia="宋体"/>
        <w:b w:val="0"/>
        <w:i w:val="0"/>
        <w:sz w:val="32"/>
      </w:rPr>
    </w:lvl>
    <w:lvl w:ilvl="3" w:tentative="0">
      <w:start w:val="1"/>
      <w:numFmt w:val="decimal"/>
      <w:pStyle w:val="4"/>
      <w:suff w:val="space"/>
      <w:lvlText w:val="%1.%2.%3.%4"/>
      <w:lvlJc w:val="left"/>
      <w:pPr>
        <w:ind w:left="1984" w:hanging="1984"/>
      </w:pPr>
      <w:rPr>
        <w:rFonts w:hint="eastAsia" w:ascii="宋体" w:hAnsi="宋体" w:eastAsia="宋体"/>
        <w:b w:val="0"/>
        <w:i w:val="0"/>
        <w:sz w:val="30"/>
      </w:rPr>
    </w:lvl>
    <w:lvl w:ilvl="4" w:tentative="0">
      <w:start w:val="1"/>
      <w:numFmt w:val="decimal"/>
      <w:suff w:val="space"/>
      <w:lvlText w:val="%1.%2.%3.%4.%5"/>
      <w:lvlJc w:val="left"/>
      <w:pPr>
        <w:ind w:left="2551" w:hanging="2551"/>
      </w:pPr>
      <w:rPr>
        <w:rFonts w:hint="eastAsia" w:ascii="宋体" w:hAnsi="宋体" w:eastAsia="宋体"/>
        <w:b w:val="0"/>
        <w:i w:val="0"/>
        <w:sz w:val="28"/>
      </w:rPr>
    </w:lvl>
    <w:lvl w:ilvl="5" w:tentative="0">
      <w:start w:val="1"/>
      <w:numFmt w:val="decimal"/>
      <w:pStyle w:val="6"/>
      <w:suff w:val="space"/>
      <w:lvlText w:val="%1.%2.%3.%4.%5.%6"/>
      <w:lvlJc w:val="left"/>
      <w:pPr>
        <w:ind w:left="3260" w:hanging="3260"/>
      </w:pPr>
      <w:rPr>
        <w:rFonts w:hint="eastAsia" w:ascii="宋体" w:hAnsi="宋体" w:eastAsia="宋体"/>
        <w:b w:val="0"/>
        <w:i w:val="0"/>
        <w:sz w:val="24"/>
      </w:rPr>
    </w:lvl>
    <w:lvl w:ilvl="6" w:tentative="0">
      <w:start w:val="1"/>
      <w:numFmt w:val="decimal"/>
      <w:suff w:val="space"/>
      <w:lvlText w:val="%1.%2.%3.%4.%5.%6.%7"/>
      <w:lvlJc w:val="left"/>
      <w:pPr>
        <w:ind w:left="3827" w:hanging="3827"/>
      </w:pPr>
      <w:rPr>
        <w:rFonts w:hint="eastAsia" w:ascii="宋体" w:hAnsi="宋体" w:eastAsia="宋体"/>
        <w:b w:val="0"/>
        <w:i w:val="0"/>
        <w:sz w:val="24"/>
      </w:rPr>
    </w:lvl>
    <w:lvl w:ilvl="7" w:tentative="0">
      <w:start w:val="1"/>
      <w:numFmt w:val="decimal"/>
      <w:pStyle w:val="7"/>
      <w:suff w:val="space"/>
      <w:lvlText w:val="%1.%2.%3.%4.%5.%6.%7.%8"/>
      <w:lvlJc w:val="left"/>
      <w:pPr>
        <w:ind w:left="4394" w:hanging="4394"/>
      </w:pPr>
      <w:rPr>
        <w:rFonts w:hint="eastAsia" w:ascii="宋体" w:hAnsi="宋体" w:eastAsia="宋体"/>
        <w:b w:val="0"/>
        <w:i w:val="0"/>
        <w:sz w:val="24"/>
      </w:rPr>
    </w:lvl>
    <w:lvl w:ilvl="8" w:tentative="0">
      <w:start w:val="1"/>
      <w:numFmt w:val="decimal"/>
      <w:pStyle w:val="8"/>
      <w:suff w:val="space"/>
      <w:lvlText w:val="%1.%2.%3.%4.%5.%6.%7.%8.%9"/>
      <w:lvlJc w:val="left"/>
      <w:pPr>
        <w:ind w:left="5102" w:hanging="5102"/>
      </w:pPr>
      <w:rPr>
        <w:rFonts w:hint="eastAsia" w:ascii="宋体" w:hAnsi="宋体" w:eastAsia="宋体"/>
        <w:b w:val="0"/>
        <w:i w:val="0"/>
        <w:sz w:val="24"/>
      </w:rPr>
    </w:lvl>
  </w:abstractNum>
  <w:abstractNum w:abstractNumId="4">
    <w:nsid w:val="209B1F07"/>
    <w:multiLevelType w:val="multilevel"/>
    <w:tmpl w:val="209B1F07"/>
    <w:lvl w:ilvl="0" w:tentative="0">
      <w:start w:val="7"/>
      <w:numFmt w:val="decimal"/>
      <w:lvlText w:val="%1."/>
      <w:lvlJc w:val="left"/>
      <w:pPr>
        <w:tabs>
          <w:tab w:val="left" w:pos="425"/>
        </w:tabs>
        <w:ind w:left="425" w:hanging="425"/>
      </w:pPr>
      <w:rPr>
        <w:rFonts w:hint="eastAsia" w:ascii="宋体" w:hAnsi="宋体" w:eastAsia="宋体"/>
        <w:b w:val="0"/>
        <w:color w:val="auto"/>
      </w:rPr>
    </w:lvl>
    <w:lvl w:ilvl="1" w:tentative="0">
      <w:start w:val="1"/>
      <w:numFmt w:val="decimal"/>
      <w:lvlText w:val="%2."/>
      <w:lvlJc w:val="left"/>
      <w:pPr>
        <w:tabs>
          <w:tab w:val="left" w:pos="567"/>
        </w:tabs>
        <w:ind w:left="567" w:hanging="567"/>
      </w:pPr>
      <w:rPr>
        <w:rFonts w:hint="eastAsia" w:ascii="宋体" w:hAnsi="宋体" w:eastAsia="宋体"/>
        <w:b w:val="0"/>
        <w:color w:val="auto"/>
      </w:rPr>
    </w:lvl>
    <w:lvl w:ilvl="2" w:tentative="0">
      <w:start w:val="1"/>
      <w:numFmt w:val="decimal"/>
      <w:lvlText w:val="%1.%2.%3"/>
      <w:lvlJc w:val="left"/>
      <w:pPr>
        <w:tabs>
          <w:tab w:val="left" w:pos="709"/>
        </w:tabs>
        <w:ind w:left="709" w:hanging="709"/>
      </w:pPr>
      <w:rPr>
        <w:rFonts w:hint="eastAsia" w:ascii="宋体" w:hAnsi="宋体" w:eastAsia="宋体"/>
        <w:color w:val="auto"/>
      </w:rPr>
    </w:lvl>
    <w:lvl w:ilvl="3" w:tentative="0">
      <w:start w:val="1"/>
      <w:numFmt w:val="decimal"/>
      <w:lvlText w:val="%1.%2.%3.%4."/>
      <w:lvlJc w:val="left"/>
      <w:pPr>
        <w:tabs>
          <w:tab w:val="left" w:pos="851"/>
        </w:tabs>
        <w:ind w:left="851" w:hanging="851"/>
      </w:pPr>
      <w:rPr>
        <w:rFonts w:hint="eastAsia" w:ascii="宋体" w:hAnsi="宋体" w:eastAsia="宋体"/>
      </w:r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5">
    <w:nsid w:val="22C341F9"/>
    <w:multiLevelType w:val="multilevel"/>
    <w:tmpl w:val="22C341F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5DF27B0"/>
    <w:multiLevelType w:val="multilevel"/>
    <w:tmpl w:val="25DF27B0"/>
    <w:lvl w:ilvl="0" w:tentative="0">
      <w:start w:val="1"/>
      <w:numFmt w:val="decimal"/>
      <w:lvlText w:val="%1)"/>
      <w:lvlJc w:val="left"/>
      <w:pPr>
        <w:ind w:left="420" w:hanging="420"/>
      </w:pPr>
      <w:rPr>
        <w:rFonts w:hint="eastAsia" w:ascii="宋体" w:hAnsi="宋体" w:eastAsia="宋体"/>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7">
    <w:nsid w:val="2AFB10F6"/>
    <w:multiLevelType w:val="multilevel"/>
    <w:tmpl w:val="2AFB10F6"/>
    <w:lvl w:ilvl="0" w:tentative="0">
      <w:start w:val="1"/>
      <w:numFmt w:val="decimal"/>
      <w:lvlText w:val="%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8">
    <w:nsid w:val="31501247"/>
    <w:multiLevelType w:val="multilevel"/>
    <w:tmpl w:val="31501247"/>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5"/>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9">
    <w:nsid w:val="325D5617"/>
    <w:multiLevelType w:val="multilevel"/>
    <w:tmpl w:val="325D5617"/>
    <w:lvl w:ilvl="0" w:tentative="0">
      <w:start w:val="1"/>
      <w:numFmt w:val="decimal"/>
      <w:lvlText w:val="%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10">
    <w:nsid w:val="3DFA599B"/>
    <w:multiLevelType w:val="multilevel"/>
    <w:tmpl w:val="3DFA599B"/>
    <w:lvl w:ilvl="0" w:tentative="0">
      <w:start w:val="1"/>
      <w:numFmt w:val="decimal"/>
      <w:lvlText w:val="%1)"/>
      <w:lvlJc w:val="left"/>
      <w:pPr>
        <w:ind w:left="420" w:hanging="420"/>
      </w:pPr>
      <w:rPr>
        <w:rFonts w:hint="eastAsia" w:ascii="宋体" w:hAnsi="宋体" w:eastAsia="宋体"/>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11">
    <w:nsid w:val="4DDF1E29"/>
    <w:multiLevelType w:val="multilevel"/>
    <w:tmpl w:val="4DDF1E29"/>
    <w:lvl w:ilvl="0" w:tentative="0">
      <w:start w:val="1"/>
      <w:numFmt w:val="decimal"/>
      <w:lvlText w:val="%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12">
    <w:nsid w:val="50A8D62C"/>
    <w:multiLevelType w:val="singleLevel"/>
    <w:tmpl w:val="50A8D62C"/>
    <w:lvl w:ilvl="0" w:tentative="0">
      <w:start w:val="1"/>
      <w:numFmt w:val="decimal"/>
      <w:suff w:val="nothing"/>
      <w:lvlText w:val="%1、"/>
      <w:lvlJc w:val="left"/>
    </w:lvl>
  </w:abstractNum>
  <w:abstractNum w:abstractNumId="13">
    <w:nsid w:val="6A9366D1"/>
    <w:multiLevelType w:val="multilevel"/>
    <w:tmpl w:val="6A9366D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7F6E7036"/>
    <w:multiLevelType w:val="multilevel"/>
    <w:tmpl w:val="7F6E703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8"/>
  </w:num>
  <w:num w:numId="3">
    <w:abstractNumId w:val="4"/>
  </w:num>
  <w:num w:numId="4">
    <w:abstractNumId w:val="5"/>
  </w:num>
  <w:num w:numId="5">
    <w:abstractNumId w:val="13"/>
  </w:num>
  <w:num w:numId="6">
    <w:abstractNumId w:val="14"/>
  </w:num>
  <w:num w:numId="7">
    <w:abstractNumId w:val="0"/>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3MzE5ZGM0ZWFjYWIyOWJjNTJiYWY2YjY5MmEyNTcifQ=="/>
  </w:docVars>
  <w:rsids>
    <w:rsidRoot w:val="1DC15E86"/>
    <w:rsid w:val="00011319"/>
    <w:rsid w:val="00045128"/>
    <w:rsid w:val="00061A89"/>
    <w:rsid w:val="000D62B8"/>
    <w:rsid w:val="000E3EF7"/>
    <w:rsid w:val="000E46F7"/>
    <w:rsid w:val="00144D2B"/>
    <w:rsid w:val="00155E74"/>
    <w:rsid w:val="001D7997"/>
    <w:rsid w:val="0023115B"/>
    <w:rsid w:val="00286794"/>
    <w:rsid w:val="00294A19"/>
    <w:rsid w:val="00297658"/>
    <w:rsid w:val="002A31B5"/>
    <w:rsid w:val="003001CB"/>
    <w:rsid w:val="003A2D2A"/>
    <w:rsid w:val="003B43C3"/>
    <w:rsid w:val="00443B36"/>
    <w:rsid w:val="00463DE4"/>
    <w:rsid w:val="004B59FC"/>
    <w:rsid w:val="005028FF"/>
    <w:rsid w:val="00583364"/>
    <w:rsid w:val="00595677"/>
    <w:rsid w:val="005B6CEA"/>
    <w:rsid w:val="005E58BD"/>
    <w:rsid w:val="00616756"/>
    <w:rsid w:val="0066075D"/>
    <w:rsid w:val="006A5E5E"/>
    <w:rsid w:val="006C357D"/>
    <w:rsid w:val="006C44D4"/>
    <w:rsid w:val="006F5D9A"/>
    <w:rsid w:val="00764410"/>
    <w:rsid w:val="00780EE1"/>
    <w:rsid w:val="00783331"/>
    <w:rsid w:val="007C3A64"/>
    <w:rsid w:val="00846B30"/>
    <w:rsid w:val="008967DF"/>
    <w:rsid w:val="008E30BE"/>
    <w:rsid w:val="00920018"/>
    <w:rsid w:val="009805D5"/>
    <w:rsid w:val="009F38DA"/>
    <w:rsid w:val="00A10062"/>
    <w:rsid w:val="00A53076"/>
    <w:rsid w:val="00A774FD"/>
    <w:rsid w:val="00AC07FC"/>
    <w:rsid w:val="00AC1DCE"/>
    <w:rsid w:val="00B168C4"/>
    <w:rsid w:val="00B7485B"/>
    <w:rsid w:val="00B83FCA"/>
    <w:rsid w:val="00BD211B"/>
    <w:rsid w:val="00C65ED5"/>
    <w:rsid w:val="00DE689B"/>
    <w:rsid w:val="00E3086A"/>
    <w:rsid w:val="00E31BC6"/>
    <w:rsid w:val="00E77328"/>
    <w:rsid w:val="00EB7EDD"/>
    <w:rsid w:val="00F134C4"/>
    <w:rsid w:val="00F313BA"/>
    <w:rsid w:val="00F42326"/>
    <w:rsid w:val="00F449BA"/>
    <w:rsid w:val="00F5054A"/>
    <w:rsid w:val="00F5701E"/>
    <w:rsid w:val="0A9D21CB"/>
    <w:rsid w:val="11F14444"/>
    <w:rsid w:val="1DC15E86"/>
    <w:rsid w:val="1FC7596E"/>
    <w:rsid w:val="2153323B"/>
    <w:rsid w:val="255C0DC6"/>
    <w:rsid w:val="2657371E"/>
    <w:rsid w:val="289F1D73"/>
    <w:rsid w:val="2ABB0720"/>
    <w:rsid w:val="2C442BDC"/>
    <w:rsid w:val="2C5F158D"/>
    <w:rsid w:val="2D5F4602"/>
    <w:rsid w:val="2F745424"/>
    <w:rsid w:val="309E6B49"/>
    <w:rsid w:val="3183437B"/>
    <w:rsid w:val="38834B4C"/>
    <w:rsid w:val="396E5813"/>
    <w:rsid w:val="435F7F60"/>
    <w:rsid w:val="46B27184"/>
    <w:rsid w:val="478C2DB8"/>
    <w:rsid w:val="48455675"/>
    <w:rsid w:val="498D7ED1"/>
    <w:rsid w:val="50A6102B"/>
    <w:rsid w:val="58F96EAE"/>
    <w:rsid w:val="64747D3B"/>
    <w:rsid w:val="66CD08B8"/>
    <w:rsid w:val="69B7653B"/>
    <w:rsid w:val="6E027099"/>
    <w:rsid w:val="74510E07"/>
    <w:rsid w:val="76733FE4"/>
    <w:rsid w:val="7D3B150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link w:val="17"/>
    <w:unhideWhenUsed/>
    <w:qFormat/>
    <w:uiPriority w:val="9"/>
    <w:pPr>
      <w:keepNext/>
      <w:keepLines/>
      <w:numPr>
        <w:ilvl w:val="1"/>
        <w:numId w:val="1"/>
      </w:numPr>
      <w:spacing w:line="360" w:lineRule="auto"/>
      <w:jc w:val="left"/>
      <w:outlineLvl w:val="1"/>
    </w:pPr>
    <w:rPr>
      <w:rFonts w:asciiTheme="majorHAnsi" w:hAnsiTheme="majorHAnsi" w:eastAsiaTheme="majorEastAsia" w:cstheme="majorBidi"/>
      <w:b/>
      <w:bCs/>
      <w:sz w:val="32"/>
      <w:szCs w:val="32"/>
    </w:rPr>
  </w:style>
  <w:style w:type="paragraph" w:styleId="3">
    <w:name w:val="heading 3"/>
    <w:basedOn w:val="1"/>
    <w:next w:val="1"/>
    <w:link w:val="18"/>
    <w:unhideWhenUsed/>
    <w:qFormat/>
    <w:uiPriority w:val="9"/>
    <w:pPr>
      <w:keepNext/>
      <w:keepLines/>
      <w:numPr>
        <w:ilvl w:val="2"/>
        <w:numId w:val="1"/>
      </w:numPr>
      <w:spacing w:line="360" w:lineRule="auto"/>
      <w:jc w:val="left"/>
      <w:outlineLvl w:val="2"/>
    </w:pPr>
    <w:rPr>
      <w:rFonts w:ascii="Calibri" w:hAnsi="Calibri"/>
      <w:b/>
      <w:bCs/>
      <w:sz w:val="32"/>
      <w:szCs w:val="32"/>
    </w:rPr>
  </w:style>
  <w:style w:type="paragraph" w:styleId="4">
    <w:name w:val="heading 4"/>
    <w:basedOn w:val="1"/>
    <w:next w:val="1"/>
    <w:link w:val="16"/>
    <w:unhideWhenUsed/>
    <w:qFormat/>
    <w:uiPriority w:val="9"/>
    <w:pPr>
      <w:keepNext/>
      <w:keepLines/>
      <w:numPr>
        <w:ilvl w:val="3"/>
        <w:numId w:val="1"/>
      </w:numPr>
      <w:spacing w:line="360" w:lineRule="auto"/>
      <w:contextualSpacing/>
      <w:jc w:val="left"/>
      <w:outlineLvl w:val="3"/>
    </w:pPr>
    <w:rPr>
      <w:rFonts w:asciiTheme="majorHAnsi" w:hAnsiTheme="majorHAnsi" w:eastAsiaTheme="majorEastAsia" w:cstheme="majorBidi"/>
      <w:b/>
      <w:bCs/>
      <w:sz w:val="28"/>
      <w:szCs w:val="28"/>
    </w:rPr>
  </w:style>
  <w:style w:type="paragraph" w:styleId="5">
    <w:name w:val="heading 5"/>
    <w:basedOn w:val="1"/>
    <w:next w:val="1"/>
    <w:link w:val="19"/>
    <w:unhideWhenUsed/>
    <w:qFormat/>
    <w:uiPriority w:val="9"/>
    <w:pPr>
      <w:keepNext/>
      <w:keepLines/>
      <w:numPr>
        <w:ilvl w:val="4"/>
        <w:numId w:val="2"/>
      </w:numPr>
      <w:spacing w:line="360" w:lineRule="auto"/>
      <w:ind w:hanging="2552" w:hangingChars="1215"/>
      <w:contextualSpacing/>
      <w:outlineLvl w:val="4"/>
    </w:pPr>
    <w:rPr>
      <w:rFonts w:ascii="Calibri" w:hAnsi="Calibri"/>
      <w:b/>
      <w:bCs/>
      <w:sz w:val="28"/>
      <w:szCs w:val="28"/>
    </w:rPr>
  </w:style>
  <w:style w:type="paragraph" w:styleId="6">
    <w:name w:val="heading 6"/>
    <w:basedOn w:val="1"/>
    <w:next w:val="1"/>
    <w:link w:val="20"/>
    <w:unhideWhenUsed/>
    <w:qFormat/>
    <w:uiPriority w:val="9"/>
    <w:pPr>
      <w:keepNext/>
      <w:keepLines/>
      <w:numPr>
        <w:ilvl w:val="5"/>
        <w:numId w:val="1"/>
      </w:numPr>
      <w:spacing w:line="360" w:lineRule="auto"/>
      <w:contextualSpacing/>
      <w:outlineLvl w:val="5"/>
    </w:pPr>
    <w:rPr>
      <w:rFonts w:asciiTheme="majorHAnsi" w:hAnsiTheme="majorHAnsi" w:eastAsiaTheme="majorEastAsia" w:cstheme="majorBidi"/>
      <w:b/>
      <w:bCs/>
      <w:sz w:val="24"/>
      <w:szCs w:val="24"/>
    </w:rPr>
  </w:style>
  <w:style w:type="paragraph" w:styleId="7">
    <w:name w:val="heading 8"/>
    <w:basedOn w:val="1"/>
    <w:next w:val="1"/>
    <w:link w:val="21"/>
    <w:unhideWhenUsed/>
    <w:qFormat/>
    <w:uiPriority w:val="9"/>
    <w:pPr>
      <w:keepNext/>
      <w:keepLines/>
      <w:numPr>
        <w:ilvl w:val="7"/>
        <w:numId w:val="1"/>
      </w:numPr>
      <w:spacing w:line="360" w:lineRule="auto"/>
      <w:contextualSpacing/>
      <w:jc w:val="left"/>
      <w:outlineLvl w:val="7"/>
    </w:pPr>
    <w:rPr>
      <w:rFonts w:asciiTheme="majorHAnsi" w:hAnsiTheme="majorHAnsi" w:eastAsiaTheme="majorEastAsia" w:cstheme="majorBidi"/>
      <w:b/>
      <w:sz w:val="24"/>
      <w:szCs w:val="24"/>
    </w:rPr>
  </w:style>
  <w:style w:type="paragraph" w:styleId="8">
    <w:name w:val="heading 9"/>
    <w:basedOn w:val="1"/>
    <w:next w:val="1"/>
    <w:link w:val="22"/>
    <w:unhideWhenUsed/>
    <w:qFormat/>
    <w:uiPriority w:val="9"/>
    <w:pPr>
      <w:keepNext/>
      <w:keepLines/>
      <w:numPr>
        <w:ilvl w:val="8"/>
        <w:numId w:val="1"/>
      </w:numPr>
      <w:spacing w:line="360" w:lineRule="auto"/>
      <w:contextualSpacing/>
      <w:outlineLvl w:val="8"/>
    </w:pPr>
    <w:rPr>
      <w:rFonts w:asciiTheme="majorHAnsi" w:hAnsiTheme="majorHAnsi" w:eastAsiaTheme="majorEastAsia" w:cstheme="majorBidi"/>
      <w:b/>
      <w:szCs w:val="21"/>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9">
    <w:name w:val="Plain Text"/>
    <w:basedOn w:val="1"/>
    <w:link w:val="25"/>
    <w:qFormat/>
    <w:uiPriority w:val="0"/>
    <w:rPr>
      <w:rFonts w:ascii="宋体" w:hAnsi="Courier New" w:cs="Courier New"/>
      <w:szCs w:val="21"/>
    </w:rPr>
  </w:style>
  <w:style w:type="paragraph" w:styleId="10">
    <w:name w:val="footer"/>
    <w:basedOn w:val="1"/>
    <w:link w:val="24"/>
    <w:unhideWhenUsed/>
    <w:qFormat/>
    <w:uiPriority w:val="99"/>
    <w:pPr>
      <w:tabs>
        <w:tab w:val="center" w:pos="4153"/>
        <w:tab w:val="right" w:pos="8306"/>
      </w:tabs>
      <w:snapToGrid w:val="0"/>
      <w:jc w:val="left"/>
    </w:pPr>
    <w:rPr>
      <w:sz w:val="18"/>
      <w:szCs w:val="18"/>
    </w:rPr>
  </w:style>
  <w:style w:type="paragraph" w:styleId="11">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0"/>
    <w:pPr>
      <w:widowControl/>
      <w:spacing w:before="100" w:beforeAutospacing="1" w:after="100" w:afterAutospacing="1"/>
      <w:jc w:val="left"/>
    </w:pPr>
    <w:rPr>
      <w:rFonts w:ascii="宋体" w:hAnsi="宋体"/>
      <w:kern w:val="0"/>
      <w:sz w:val="24"/>
      <w:szCs w:val="24"/>
    </w:rPr>
  </w:style>
  <w:style w:type="table" w:styleId="14">
    <w:name w:val="Table Grid"/>
    <w:basedOn w:val="13"/>
    <w:qFormat/>
    <w:uiPriority w:val="39"/>
    <w:rPr>
      <w:rFonts w:ascii="Times New Roman" w:hAnsi="Times New Roman" w:eastAsia="宋体" w:cs="Times New Roma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标题 4 Char"/>
    <w:basedOn w:val="15"/>
    <w:link w:val="4"/>
    <w:qFormat/>
    <w:uiPriority w:val="9"/>
    <w:rPr>
      <w:rFonts w:asciiTheme="majorHAnsi" w:hAnsiTheme="majorHAnsi" w:eastAsiaTheme="majorEastAsia" w:cstheme="majorBidi"/>
      <w:b/>
      <w:bCs/>
      <w:sz w:val="28"/>
      <w:szCs w:val="28"/>
    </w:rPr>
  </w:style>
  <w:style w:type="character" w:customStyle="1" w:styleId="17">
    <w:name w:val="标题 2 Char"/>
    <w:basedOn w:val="15"/>
    <w:link w:val="2"/>
    <w:qFormat/>
    <w:uiPriority w:val="9"/>
    <w:rPr>
      <w:rFonts w:asciiTheme="majorHAnsi" w:hAnsiTheme="majorHAnsi" w:eastAsiaTheme="majorEastAsia" w:cstheme="majorBidi"/>
      <w:b/>
      <w:bCs/>
      <w:sz w:val="32"/>
      <w:szCs w:val="32"/>
    </w:rPr>
  </w:style>
  <w:style w:type="character" w:customStyle="1" w:styleId="18">
    <w:name w:val="标题 3 Char"/>
    <w:basedOn w:val="15"/>
    <w:link w:val="3"/>
    <w:qFormat/>
    <w:uiPriority w:val="9"/>
    <w:rPr>
      <w:rFonts w:ascii="Calibri" w:hAnsi="Calibri"/>
      <w:b/>
      <w:bCs/>
      <w:sz w:val="32"/>
      <w:szCs w:val="32"/>
    </w:rPr>
  </w:style>
  <w:style w:type="character" w:customStyle="1" w:styleId="19">
    <w:name w:val="标题 5 Char"/>
    <w:basedOn w:val="15"/>
    <w:link w:val="5"/>
    <w:qFormat/>
    <w:uiPriority w:val="9"/>
    <w:rPr>
      <w:rFonts w:ascii="Calibri" w:hAnsi="Calibri"/>
      <w:b/>
      <w:bCs/>
      <w:sz w:val="28"/>
      <w:szCs w:val="28"/>
    </w:rPr>
  </w:style>
  <w:style w:type="character" w:customStyle="1" w:styleId="20">
    <w:name w:val="标题 6 Char"/>
    <w:basedOn w:val="15"/>
    <w:link w:val="6"/>
    <w:qFormat/>
    <w:uiPriority w:val="9"/>
    <w:rPr>
      <w:rFonts w:asciiTheme="majorHAnsi" w:hAnsiTheme="majorHAnsi" w:eastAsiaTheme="majorEastAsia" w:cstheme="majorBidi"/>
      <w:b/>
      <w:bCs/>
      <w:sz w:val="24"/>
      <w:szCs w:val="24"/>
    </w:rPr>
  </w:style>
  <w:style w:type="character" w:customStyle="1" w:styleId="21">
    <w:name w:val="标题 8 Char"/>
    <w:basedOn w:val="15"/>
    <w:link w:val="7"/>
    <w:qFormat/>
    <w:uiPriority w:val="9"/>
    <w:rPr>
      <w:rFonts w:asciiTheme="majorHAnsi" w:hAnsiTheme="majorHAnsi" w:eastAsiaTheme="majorEastAsia" w:cstheme="majorBidi"/>
      <w:b/>
      <w:sz w:val="24"/>
      <w:szCs w:val="24"/>
    </w:rPr>
  </w:style>
  <w:style w:type="character" w:customStyle="1" w:styleId="22">
    <w:name w:val="标题 9 Char"/>
    <w:basedOn w:val="15"/>
    <w:link w:val="8"/>
    <w:qFormat/>
    <w:uiPriority w:val="9"/>
    <w:rPr>
      <w:rFonts w:asciiTheme="majorHAnsi" w:hAnsiTheme="majorHAnsi" w:eastAsiaTheme="majorEastAsia" w:cstheme="majorBidi"/>
      <w:b/>
      <w:szCs w:val="21"/>
    </w:rPr>
  </w:style>
  <w:style w:type="character" w:customStyle="1" w:styleId="23">
    <w:name w:val="页眉 Char"/>
    <w:basedOn w:val="15"/>
    <w:link w:val="11"/>
    <w:qFormat/>
    <w:uiPriority w:val="99"/>
    <w:rPr>
      <w:sz w:val="18"/>
      <w:szCs w:val="18"/>
    </w:rPr>
  </w:style>
  <w:style w:type="character" w:customStyle="1" w:styleId="24">
    <w:name w:val="页脚 Char"/>
    <w:basedOn w:val="15"/>
    <w:link w:val="10"/>
    <w:qFormat/>
    <w:uiPriority w:val="99"/>
    <w:rPr>
      <w:sz w:val="18"/>
      <w:szCs w:val="18"/>
    </w:rPr>
  </w:style>
  <w:style w:type="character" w:customStyle="1" w:styleId="25">
    <w:name w:val="纯文本 Char"/>
    <w:basedOn w:val="15"/>
    <w:link w:val="9"/>
    <w:qFormat/>
    <w:uiPriority w:val="0"/>
    <w:rPr>
      <w:rFonts w:ascii="宋体" w:hAnsi="Courier New" w:eastAsia="宋体" w:cs="Courier New"/>
      <w:szCs w:val="21"/>
    </w:rPr>
  </w:style>
  <w:style w:type="paragraph" w:styleId="26">
    <w:name w:val="List Paragraph"/>
    <w:basedOn w:val="1"/>
    <w:qFormat/>
    <w:uiPriority w:val="34"/>
    <w:pPr>
      <w:ind w:firstLine="420" w:firstLineChars="200"/>
    </w:pPr>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esktop\&#38656;&#27714;&#20070;&#65288;&#26816;&#39564;&#22806;&#36865;&#65289;.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需求书（检验外送）.dotx</Template>
  <Pages>8</Pages>
  <Words>4359</Words>
  <Characters>4495</Characters>
  <Lines>27</Lines>
  <Paragraphs>7</Paragraphs>
  <TotalTime>24</TotalTime>
  <ScaleCrop>false</ScaleCrop>
  <LinksUpToDate>false</LinksUpToDate>
  <CharactersWithSpaces>4521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2023-12-19T07:53:00Z</dcterms:created>
  <dc:creator>DELL</dc:creator>
  <cp:lastModifiedBy>WPS_1617649358</cp:lastModifiedBy>
  <dcterms:modified xsi:type="dcterms:W3CDTF">2024-12-18T01:29:47Z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C36E157463534008A5B83C9F461B8253_13</vt:lpwstr>
  </property>
</Properties>
</file>