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3EEB1">
      <w:pPr>
        <w:rPr>
          <w:rFonts w:hint="eastAsia" w:ascii="仿宋_GB2312" w:hAnsi="宋体" w:eastAsia="仿宋_GB2312" w:cs="仿宋_GB2312"/>
          <w:b/>
          <w:bCs/>
          <w:i w:val="0"/>
          <w:iCs w:val="0"/>
          <w:caps w:val="0"/>
          <w:color w:val="424242"/>
          <w:spacing w:val="0"/>
          <w:sz w:val="31"/>
          <w:szCs w:val="31"/>
          <w:shd w:val="clear" w:fill="FFFFFF"/>
          <w:lang w:val="en-US" w:eastAsia="zh-CN"/>
        </w:rPr>
      </w:pPr>
      <w:r>
        <w:rPr>
          <w:rFonts w:hint="eastAsia" w:ascii="仿宋_GB2312" w:hAnsi="宋体" w:eastAsia="仿宋_GB2312" w:cs="仿宋_GB2312"/>
          <w:b/>
          <w:bCs/>
          <w:i w:val="0"/>
          <w:iCs w:val="0"/>
          <w:caps w:val="0"/>
          <w:color w:val="424242"/>
          <w:spacing w:val="0"/>
          <w:sz w:val="31"/>
          <w:szCs w:val="31"/>
          <w:shd w:val="clear" w:fill="FFFFFF"/>
          <w:lang w:val="en-US" w:eastAsia="zh-CN"/>
        </w:rPr>
        <w:t>附件</w:t>
      </w:r>
      <w:bookmarkStart w:id="0" w:name="_GoBack"/>
      <w:bookmarkEnd w:id="0"/>
      <w:r>
        <w:rPr>
          <w:rFonts w:hint="eastAsia" w:ascii="仿宋_GB2312" w:hAnsi="宋体" w:eastAsia="仿宋_GB2312" w:cs="仿宋_GB2312"/>
          <w:b/>
          <w:bCs/>
          <w:i w:val="0"/>
          <w:iCs w:val="0"/>
          <w:caps w:val="0"/>
          <w:color w:val="424242"/>
          <w:spacing w:val="0"/>
          <w:sz w:val="31"/>
          <w:szCs w:val="31"/>
          <w:shd w:val="clear" w:fill="FFFFFF"/>
          <w:lang w:val="en-US" w:eastAsia="zh-CN"/>
        </w:rPr>
        <w:t>：</w:t>
      </w:r>
    </w:p>
    <w:p w14:paraId="4402CF67">
      <w:pPr>
        <w:jc w:val="center"/>
        <w:rPr>
          <w:rFonts w:hint="eastAsia" w:ascii="黑体" w:hAnsi="黑体" w:eastAsia="黑体" w:cs="黑体"/>
          <w:sz w:val="32"/>
          <w:szCs w:val="40"/>
          <w:lang w:eastAsia="zh-CN"/>
        </w:rPr>
      </w:pPr>
      <w:r>
        <w:rPr>
          <w:rFonts w:hint="eastAsia" w:ascii="黑体" w:hAnsi="黑体" w:eastAsia="黑体" w:cs="黑体"/>
          <w:sz w:val="32"/>
          <w:szCs w:val="40"/>
          <w:lang w:eastAsia="zh-CN"/>
        </w:rPr>
        <w:t>汕头市龙湖区第二人民医院门诊大楼改建工程</w:t>
      </w:r>
    </w:p>
    <w:p w14:paraId="30322A4A">
      <w:pPr>
        <w:jc w:val="cente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社会稳定风险评估报告结论</w:t>
      </w:r>
    </w:p>
    <w:p w14:paraId="4D2452D7">
      <w:pPr>
        <w:jc w:val="center"/>
        <w:rPr>
          <w:rFonts w:hint="eastAsia"/>
          <w:lang w:val="en-US" w:eastAsia="zh-CN"/>
        </w:rPr>
      </w:pPr>
    </w:p>
    <w:p w14:paraId="0D8A2535">
      <w:pPr>
        <w:rPr>
          <w:rFonts w:hint="eastAsia" w:ascii="仿宋_GB2312" w:hAnsi="微软雅黑" w:eastAsia="仿宋_GB2312" w:cs="仿宋_GB2312"/>
          <w:b/>
          <w:bCs/>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bCs/>
          <w:i w:val="0"/>
          <w:iCs w:val="0"/>
          <w:caps w:val="0"/>
          <w:color w:val="424242"/>
          <w:spacing w:val="0"/>
          <w:kern w:val="0"/>
          <w:sz w:val="28"/>
          <w:szCs w:val="28"/>
          <w:shd w:val="clear" w:fill="FFFFFF"/>
          <w:lang w:val="en-US" w:eastAsia="zh-CN" w:bidi="ar"/>
        </w:rPr>
        <w:t>一、项目概况</w:t>
      </w:r>
    </w:p>
    <w:p w14:paraId="36A82954">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（一）项目名称：汕头市龙湖区第二人民医院门诊大楼改建工程</w:t>
      </w:r>
    </w:p>
    <w:p w14:paraId="1E312D7D">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（二）项目单位：汕头市龙湖区第二人民医院</w:t>
      </w:r>
    </w:p>
    <w:p w14:paraId="130611DC">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（三）项目地点：本项目位于汕头市龙湖区嵩山路71号汕头市龙湖区第二人民医院院内</w:t>
      </w:r>
    </w:p>
    <w:p w14:paraId="7943A564">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四）项目建设内容：项目建设内容主要在原门诊大楼基础上进行拆除重建，拆除现有门诊大楼，拟新建一栋13层门诊大楼，每层约730.4平方米，总建筑面积约11026.35平方米(其中地下室1523.54平方米，地上13层9502.81平方米)。</w:t>
      </w:r>
    </w:p>
    <w:p w14:paraId="0A39F322">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（五）项目总投资：12000.00万元</w:t>
      </w:r>
    </w:p>
    <w:p w14:paraId="1D88C99D">
      <w:pPr>
        <w:numPr>
          <w:ilvl w:val="0"/>
          <w:numId w:val="0"/>
        </w:numPr>
        <w:rPr>
          <w:rFonts w:hint="eastAsia" w:ascii="仿宋_GB2312" w:hAnsi="微软雅黑" w:eastAsia="仿宋_GB2312" w:cs="仿宋_GB2312"/>
          <w:b/>
          <w:bCs/>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bCs/>
          <w:i w:val="0"/>
          <w:iCs w:val="0"/>
          <w:caps w:val="0"/>
          <w:color w:val="424242"/>
          <w:spacing w:val="0"/>
          <w:kern w:val="0"/>
          <w:sz w:val="28"/>
          <w:szCs w:val="28"/>
          <w:shd w:val="clear" w:fill="FFFFFF"/>
          <w:lang w:val="en-US" w:eastAsia="zh-CN" w:bidi="ar"/>
        </w:rPr>
        <w:t>二、评估过程</w:t>
      </w:r>
    </w:p>
    <w:p w14:paraId="3B22F5B1">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（一）评估初审</w:t>
      </w:r>
    </w:p>
    <w:p w14:paraId="08C3A001">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根据《国家发展改革委关于印发国家发展改革委重大固定资产投资项目社会稳定风险评估暂行办法》（发改投资〔2012〕2492号）《广东省发展改革委重大项目社会稳定风险评估暂行办法》〔粤发改重点[2012]1095号〕等相关要求，委托同致诚工程咨询有限公司开展项目社会稳定风险评估工作。</w:t>
      </w:r>
    </w:p>
    <w:p w14:paraId="1C8FA84F">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同致诚工程咨询有限公司接受委托后，组成风险评估项目组，广泛征求项目单位、项目区域所在地、项目影响区的一般居民等各方对于本项目的意见及建议，并邀请了有关专家参与评估工作，提出切实可行的意见及建议。</w:t>
      </w:r>
    </w:p>
    <w:p w14:paraId="21B459B3">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项目评估小组初步审阅《汕头市龙湖区第二人民医院门诊大楼改建工程社会稳定风险分析报告》，了解项目基本情况，对项目风险及相关利益群体、风险调查范围进行分析，并制定风险评估方案。</w:t>
      </w:r>
    </w:p>
    <w:p w14:paraId="2180268D">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（二）评估调查论证</w:t>
      </w:r>
    </w:p>
    <w:p w14:paraId="750844E1">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项目评估小组进行现场踏勘，初步判断项目风险及相关利益群体，确定风险调查范围，制定调查方案；展开风险调查，通过各种途径收集相关资料；组织人员对项目周边的相关利益群体、公众参与调查者进行回访和调研，印证调查结果的真实性、可靠性；确定各单因素风险权重，划分风险等级；针对不同风险，给出相应的化解和应对措施。</w:t>
      </w:r>
    </w:p>
    <w:p w14:paraId="500877BD">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（三）召开评审会</w:t>
      </w:r>
    </w:p>
    <w:p w14:paraId="4EDC6D30">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2024年8月28日，为加快推进项目建设，汕头市龙湖区第二人民医院组织邀请汕头市龙湖区发展和改革局、汕头市自然资源局龙湖分局、汕头市龙湖区司法局、汕头市龙湖区委政法委员会、汕头市龙湖区住房和城乡建设局、汕头市龙湖区水务局、汕头市生态环境局龙湖分局等单位以及五位专家组成专家评审组，对《汕头市龙湖区第二人民医院门诊大楼改建工程社会稳定风险分析报告》进行评估审查。专家组认为《分析报告》基本符合《重大固定资产项目社会稳定风险分析篇章和评估报告编制大纲（试行）》要求，依据的法律、标准、政策正确，评估分析方法有效，原则同意《分析报告》提出的低风险的结论。</w:t>
      </w:r>
    </w:p>
    <w:p w14:paraId="4195C6BB">
      <w:pPr>
        <w:numPr>
          <w:ilvl w:val="0"/>
          <w:numId w:val="0"/>
        </w:numPr>
        <w:ind w:left="0" w:leftChars="0" w:firstLine="420" w:firstLineChars="0"/>
        <w:rPr>
          <w:rFonts w:hint="default"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（四）评估报告</w:t>
      </w:r>
    </w:p>
    <w:p w14:paraId="7D971ADF">
      <w:pPr>
        <w:numPr>
          <w:ilvl w:val="0"/>
          <w:numId w:val="0"/>
        </w:numPr>
        <w:ind w:left="0" w:leftChars="0" w:firstLine="420" w:firstLineChars="0"/>
        <w:rPr>
          <w:rFonts w:hint="eastAsia" w:ascii="仿宋_GB2312" w:hAnsi="微软雅黑" w:eastAsia="仿宋_GB2312" w:cs="仿宋_GB2312"/>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i w:val="0"/>
          <w:iCs w:val="0"/>
          <w:caps w:val="0"/>
          <w:color w:val="424242"/>
          <w:spacing w:val="0"/>
          <w:kern w:val="0"/>
          <w:sz w:val="28"/>
          <w:szCs w:val="28"/>
          <w:shd w:val="clear" w:fill="FFFFFF"/>
          <w:lang w:val="en-US" w:eastAsia="zh-CN" w:bidi="ar"/>
        </w:rPr>
        <w:t>在充分讨论和研究的基础上，风险评估项目通过访谈、回访等方式收集相关意见。风险评估项目组全面评估项目相关风险点，确定风险等级，形成评估报告。</w:t>
      </w:r>
    </w:p>
    <w:p w14:paraId="088864D9">
      <w:pPr>
        <w:numPr>
          <w:ilvl w:val="0"/>
          <w:numId w:val="0"/>
        </w:numPr>
        <w:rPr>
          <w:rFonts w:hint="eastAsia" w:ascii="仿宋_GB2312" w:hAnsi="微软雅黑" w:eastAsia="仿宋_GB2312" w:cs="仿宋_GB2312"/>
          <w:b/>
          <w:bCs/>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bCs/>
          <w:i w:val="0"/>
          <w:iCs w:val="0"/>
          <w:caps w:val="0"/>
          <w:color w:val="424242"/>
          <w:spacing w:val="0"/>
          <w:kern w:val="0"/>
          <w:sz w:val="28"/>
          <w:szCs w:val="28"/>
          <w:shd w:val="clear" w:fill="FFFFFF"/>
          <w:lang w:val="en-US" w:eastAsia="zh-CN" w:bidi="ar"/>
        </w:rPr>
        <w:t>三、评估结论</w:t>
      </w:r>
    </w:p>
    <w:p w14:paraId="0D2718A2">
      <w:pPr>
        <w:pStyle w:val="2"/>
        <w:bidi w:val="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（一）主要风险因素</w:t>
      </w:r>
    </w:p>
    <w:p w14:paraId="102B7914">
      <w:pPr>
        <w:pStyle w:val="2"/>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项目主要风险有10个，包括（R1）信息公开和公众参与、（R2）拆除旧建筑、（R3）工程方案、（R4）环境风险、（R5）污染物排放、（R6）水土流失、（R7）文明施工和质量安全管理、（R8）社会治安和公共安全、（R9）流动人口、（R10）交通影响等风险因素。</w:t>
      </w:r>
    </w:p>
    <w:p w14:paraId="46BBD7B3">
      <w:pP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（二）主要风险防范、化解措施：</w:t>
      </w:r>
    </w:p>
    <w:p w14:paraId="0058C1B3">
      <w:pPr>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1、加强与群众、社区等沟通与协调工作，确保信息通畅；开展宣传、引导及普及本项目的情况，提高群众等对本项目的认可，建设单位应结合当地经济发展情况，充分考虑群众述求；</w:t>
      </w:r>
    </w:p>
    <w:p w14:paraId="24197AA9">
      <w:pPr>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2、建设方应跟据问卷调查及专家、相关部门的意见，在建设阶段应进一步细化项目潜在的风险因素。</w:t>
      </w:r>
    </w:p>
    <w:p w14:paraId="3D44BBCA">
      <w:pPr>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3、构建社会稳定风险管理体系，建立风险联防机制。</w:t>
      </w:r>
    </w:p>
    <w:p w14:paraId="127F510B">
      <w:pPr>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4、加强项目周边治安秩序整治，排查、稳控施工单位外来务工危险人员，加强对项目周边治安的巡查力度。</w:t>
      </w:r>
    </w:p>
    <w:p w14:paraId="50033E94">
      <w:pPr>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5、要加强本项目的重要意义的宣传，以营造良好的社会舆论氛围。</w:t>
      </w:r>
    </w:p>
    <w:p w14:paraId="61DC8317">
      <w:pPr>
        <w:bidi w:val="0"/>
        <w:ind w:firstLine="560" w:firstLineChars="200"/>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6、制定各级各类突发事件应急预案。</w:t>
      </w:r>
    </w:p>
    <w:p w14:paraId="4F4A0964">
      <w:pPr>
        <w:bidi w:val="0"/>
        <w:rPr>
          <w:rFonts w:hint="default"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（三）风险等级</w:t>
      </w:r>
    </w:p>
    <w:p w14:paraId="74067F52">
      <w:pPr>
        <w:ind w:firstLine="560" w:firstLineChars="200"/>
        <w:rPr>
          <w:rFonts w:hint="default" w:ascii="仿宋_GB2312" w:hAnsi="微软雅黑" w:eastAsia="仿宋_GB2312" w:cs="仿宋_GB2312"/>
          <w:b w:val="0"/>
          <w:bCs w:val="0"/>
          <w:i w:val="0"/>
          <w:iCs w:val="0"/>
          <w:caps w:val="0"/>
          <w:color w:val="424242"/>
          <w:spacing w:val="0"/>
          <w:kern w:val="0"/>
          <w:sz w:val="28"/>
          <w:szCs w:val="28"/>
          <w:shd w:val="clear" w:fill="FFFFFF"/>
          <w:lang w:val="en-US" w:eastAsia="zh-CN" w:bidi="ar"/>
        </w:rPr>
      </w:pPr>
      <w:r>
        <w:rPr>
          <w:rFonts w:hint="eastAsia" w:ascii="仿宋_GB2312" w:hAnsi="微软雅黑" w:eastAsia="仿宋_GB2312" w:cs="仿宋_GB2312"/>
          <w:b w:val="0"/>
          <w:bCs w:val="0"/>
          <w:i w:val="0"/>
          <w:iCs w:val="0"/>
          <w:caps w:val="0"/>
          <w:color w:val="424242"/>
          <w:spacing w:val="0"/>
          <w:kern w:val="0"/>
          <w:sz w:val="28"/>
          <w:szCs w:val="28"/>
          <w:shd w:val="clear" w:fill="FFFFFF"/>
          <w:lang w:val="en-US" w:eastAsia="zh-CN" w:bidi="ar"/>
        </w:rPr>
        <w:t>在落实“分析报告”和“评估报告”提出的风险防范和化解措施后，根据项目的单因素风险判定法的判定结果及项目单因素风险判定法结果，综合风险指数定量值为0.2789，小于0.36，评估项目组认为本项目在充分落实风险处置措施后，能够有效降低风险，总体社会稳定风险很低，最终判定为低风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hYTIxNTA5ZThiMzA5M2JiYWYwNTJlMmE2ZjYzNTMifQ=="/>
  </w:docVars>
  <w:rsids>
    <w:rsidRoot w:val="26D37207"/>
    <w:rsid w:val="02E61013"/>
    <w:rsid w:val="03DD6186"/>
    <w:rsid w:val="06AA4286"/>
    <w:rsid w:val="26D37207"/>
    <w:rsid w:val="377843FC"/>
    <w:rsid w:val="4A440629"/>
    <w:rsid w:val="4E8A63A8"/>
    <w:rsid w:val="66CD0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ind w:firstLine="0" w:firstLineChars="0"/>
      <w:outlineLvl w:val="1"/>
    </w:pPr>
    <w:rPr>
      <w:b/>
      <w:bCs/>
      <w:sz w:val="30"/>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1973</Words>
  <Characters>2092</Characters>
  <Lines>0</Lines>
  <Paragraphs>0</Paragraphs>
  <TotalTime>5</TotalTime>
  <ScaleCrop>false</ScaleCrop>
  <LinksUpToDate>false</LinksUpToDate>
  <CharactersWithSpaces>2092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2024-09-24T07:36:00Z</dcterms:created>
  <dc:creator>Administrator</dc:creator>
  <cp:lastModifiedBy>Night</cp:lastModifiedBy>
  <dcterms:modified xsi:type="dcterms:W3CDTF">2024-09-26T03:23:05Z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2AAEEEE2384B419199C990253BC17951_13</vt:lpwstr>
  </property>
</Properties>
</file>