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微软雅黑" w:hAnsi="微软雅黑" w:eastAsia="微软雅黑" w:cs="宋体"/>
          <w:color w:val="000000"/>
          <w:sz w:val="24"/>
        </w:rPr>
      </w:pPr>
      <w:r>
        <w:rPr>
          <w:rFonts w:ascii="微软雅黑" w:hAnsi="微软雅黑" w:eastAsia="微软雅黑" w:cs="微软雅黑"/>
          <w:b/>
          <w:color w:val="000000"/>
          <w:kern w:val="0"/>
          <w:sz w:val="48"/>
          <w:szCs w:val="48"/>
          <w:lang w:bidi="ar"/>
        </w:rPr>
        <w:t>用 户 需 求</w:t>
      </w:r>
      <w:r>
        <w:rPr>
          <w:rFonts w:hint="eastAsia" w:ascii="微软雅黑" w:hAnsi="微软雅黑" w:eastAsia="微软雅黑" w:cs="微软雅黑"/>
          <w:b/>
          <w:color w:val="000000"/>
          <w:kern w:val="0"/>
          <w:sz w:val="48"/>
          <w:szCs w:val="48"/>
          <w:lang w:bidi="ar"/>
        </w:rPr>
        <w:t xml:space="preserve"> 书</w:t>
      </w:r>
    </w:p>
    <w:p>
      <w:pPr>
        <w:pStyle w:val="2"/>
        <w:widowControl/>
        <w:numPr>
          <w:ilvl w:val="0"/>
          <w:numId w:val="0"/>
        </w:numPr>
        <w:ind w:left="992" w:hanging="992"/>
        <w:jc w:val="both"/>
        <w:rPr>
          <w:rFonts w:ascii="微软雅黑" w:hAnsi="微软雅黑" w:eastAsia="微软雅黑" w:cs="Cambria"/>
        </w:rPr>
      </w:pPr>
      <w:r>
        <w:rPr>
          <w:rFonts w:ascii="微软雅黑" w:hAnsi="微软雅黑" w:eastAsia="微软雅黑" w:cs="宋体"/>
          <w:color w:val="000000"/>
        </w:rPr>
        <w:t>一、资格要求</w:t>
      </w:r>
    </w:p>
    <w:p>
      <w:pPr>
        <w:numPr>
          <w:ilvl w:val="1"/>
          <w:numId w:val="3"/>
        </w:numPr>
        <w:adjustRightInd w:val="0"/>
        <w:snapToGrid w:val="0"/>
        <w:spacing w:line="360" w:lineRule="auto"/>
        <w:rPr>
          <w:rFonts w:ascii="微软雅黑" w:hAnsi="微软雅黑" w:eastAsia="微软雅黑"/>
          <w:bCs/>
          <w:color w:val="FF0000"/>
        </w:rPr>
      </w:pPr>
      <w:r>
        <w:rPr>
          <w:rFonts w:hint="eastAsia" w:ascii="微软雅黑" w:hAnsi="微软雅黑" w:eastAsia="微软雅黑"/>
          <w:bCs/>
        </w:rPr>
        <w:t>供应商应具备《政府采购法》第二十二条规定的条件；</w:t>
      </w:r>
    </w:p>
    <w:p>
      <w:pPr>
        <w:numPr>
          <w:ilvl w:val="1"/>
          <w:numId w:val="3"/>
        </w:numPr>
        <w:adjustRightInd w:val="0"/>
        <w:snapToGrid w:val="0"/>
        <w:spacing w:line="360" w:lineRule="auto"/>
        <w:rPr>
          <w:rFonts w:ascii="微软雅黑" w:hAnsi="微软雅黑" w:eastAsia="微软雅黑"/>
          <w:bCs/>
        </w:rPr>
      </w:pPr>
      <w:r>
        <w:rPr>
          <w:rFonts w:hint="eastAsia" w:ascii="微软雅黑" w:hAnsi="微软雅黑" w:eastAsia="微软雅黑"/>
          <w:szCs w:val="21"/>
        </w:rPr>
        <w:t>供应商必须是具有独立承担民事责任能力的在中华人民共和国境内注册的法人或其他组织或自然人；</w:t>
      </w:r>
    </w:p>
    <w:p>
      <w:pPr>
        <w:numPr>
          <w:ilvl w:val="1"/>
          <w:numId w:val="3"/>
        </w:numPr>
        <w:adjustRightInd w:val="0"/>
        <w:snapToGrid w:val="0"/>
        <w:spacing w:line="360" w:lineRule="auto"/>
        <w:rPr>
          <w:rFonts w:ascii="微软雅黑" w:hAnsi="微软雅黑" w:eastAsia="微软雅黑"/>
          <w:bCs/>
          <w:szCs w:val="21"/>
        </w:rPr>
      </w:pPr>
      <w:r>
        <w:rPr>
          <w:rFonts w:hint="eastAsia" w:ascii="微软雅黑" w:hAnsi="微软雅黑" w:eastAsia="微软雅黑"/>
          <w:bCs/>
          <w:kern w:val="0"/>
          <w:szCs w:val="21"/>
        </w:rPr>
        <w:t>供应商</w:t>
      </w:r>
      <w:r>
        <w:rPr>
          <w:rFonts w:hint="eastAsia" w:ascii="微软雅黑" w:hAnsi="微软雅黑" w:eastAsia="微软雅黑"/>
          <w:bCs/>
          <w:szCs w:val="21"/>
        </w:rPr>
        <w:t>具有卫生部门核发且在有效期内的《医疗机构执业许可证》，诊疗科目包含“医学检验科”；</w:t>
      </w:r>
    </w:p>
    <w:p>
      <w:pPr>
        <w:numPr>
          <w:ilvl w:val="1"/>
          <w:numId w:val="3"/>
        </w:numPr>
        <w:adjustRightInd w:val="0"/>
        <w:snapToGrid w:val="0"/>
        <w:spacing w:line="360" w:lineRule="auto"/>
        <w:rPr>
          <w:rFonts w:ascii="微软雅黑" w:hAnsi="微软雅黑" w:eastAsia="微软雅黑" w:cs="宋体"/>
          <w:bCs/>
          <w:kern w:val="0"/>
          <w:szCs w:val="21"/>
        </w:rPr>
      </w:pPr>
      <w:r>
        <w:rPr>
          <w:rFonts w:hint="eastAsia" w:ascii="微软雅黑" w:hAnsi="微软雅黑" w:eastAsia="微软雅黑"/>
          <w:szCs w:val="21"/>
        </w:rPr>
        <w:t>参加政府采购活动前3年内在经营活动中没有重大违法记录的书面声明</w:t>
      </w:r>
      <w:r>
        <w:rPr>
          <w:rFonts w:hint="eastAsia" w:ascii="微软雅黑" w:hAnsi="微软雅黑" w:eastAsia="微软雅黑" w:cs="宋体"/>
          <w:bCs/>
          <w:kern w:val="0"/>
          <w:szCs w:val="21"/>
        </w:rPr>
        <w:t>；</w:t>
      </w:r>
    </w:p>
    <w:p>
      <w:pPr>
        <w:numPr>
          <w:ilvl w:val="1"/>
          <w:numId w:val="3"/>
        </w:numPr>
        <w:adjustRightInd w:val="0"/>
        <w:snapToGrid w:val="0"/>
        <w:spacing w:line="360" w:lineRule="auto"/>
        <w:rPr>
          <w:rFonts w:ascii="微软雅黑" w:hAnsi="微软雅黑" w:eastAsia="微软雅黑"/>
          <w:bCs/>
          <w:szCs w:val="21"/>
        </w:rPr>
      </w:pPr>
      <w:r>
        <w:rPr>
          <w:rFonts w:ascii="微软雅黑" w:hAnsi="微软雅黑" w:eastAsia="微软雅黑"/>
          <w:color w:val="000000"/>
          <w:szCs w:val="21"/>
        </w:rPr>
        <w:t>投标人未被列入“信用中国”网站(www.creditchina.gov.cn)“记录失信被执行人或重大税收违法案件当事人名单或政府采购严重违法失信行为”记录名单</w:t>
      </w:r>
      <w:r>
        <w:rPr>
          <w:rFonts w:hint="eastAsia" w:ascii="微软雅黑" w:hAnsi="微软雅黑" w:eastAsia="微软雅黑"/>
          <w:color w:val="000000"/>
          <w:szCs w:val="21"/>
        </w:rPr>
        <w:t>。同时，</w:t>
      </w:r>
      <w:r>
        <w:rPr>
          <w:rFonts w:ascii="微软雅黑" w:hAnsi="微软雅黑" w:eastAsia="微软雅黑"/>
          <w:color w:val="000000"/>
          <w:szCs w:val="21"/>
        </w:rPr>
        <w:t>不处于中国政府采购网(www.ccgp.gov.cn)“政府采购严重违法失信行为信息记录”中的禁止参加政府采购活动期间。（</w:t>
      </w:r>
      <w:r>
        <w:rPr>
          <w:rFonts w:hint="eastAsia" w:ascii="微软雅黑" w:hAnsi="微软雅黑" w:eastAsia="微软雅黑" w:cs="宋体"/>
          <w:color w:val="000000"/>
        </w:rPr>
        <w:t>说明：①、</w:t>
      </w:r>
      <w:r>
        <w:rPr>
          <w:rFonts w:hint="eastAsia" w:ascii="微软雅黑" w:hAnsi="微软雅黑" w:eastAsia="微软雅黑"/>
          <w:color w:val="000000"/>
          <w:szCs w:val="21"/>
        </w:rPr>
        <w:t>由负责资格性审查人员</w:t>
      </w:r>
      <w:r>
        <w:rPr>
          <w:rFonts w:ascii="微软雅黑" w:hAnsi="微软雅黑" w:eastAsia="微软雅黑"/>
          <w:color w:val="000000"/>
          <w:szCs w:val="21"/>
        </w:rPr>
        <w:t>于</w:t>
      </w:r>
      <w:r>
        <w:rPr>
          <w:rFonts w:hint="eastAsia" w:ascii="微软雅黑" w:hAnsi="微软雅黑" w:eastAsia="微软雅黑"/>
          <w:color w:val="000000"/>
          <w:szCs w:val="21"/>
        </w:rPr>
        <w:t>投标截止日</w:t>
      </w:r>
      <w:r>
        <w:rPr>
          <w:rFonts w:ascii="微软雅黑" w:hAnsi="微软雅黑" w:eastAsia="微软雅黑"/>
          <w:color w:val="000000"/>
          <w:szCs w:val="21"/>
        </w:rPr>
        <w:t>在“信用中国”网站（www.creditchina.gov.cn）及中国政府采购网(www.ccgp.gov.cn)查询结果为准</w:t>
      </w:r>
      <w:r>
        <w:rPr>
          <w:rFonts w:hint="eastAsia" w:ascii="微软雅黑" w:hAnsi="微软雅黑" w:eastAsia="微软雅黑"/>
          <w:color w:val="000000"/>
          <w:szCs w:val="21"/>
        </w:rPr>
        <w:t>。②、</w:t>
      </w:r>
      <w:r>
        <w:rPr>
          <w:rFonts w:hint="eastAsia" w:ascii="微软雅黑" w:hAnsi="微软雅黑" w:eastAsia="微软雅黑" w:cs="宋体"/>
          <w:color w:val="000000"/>
        </w:rPr>
        <w:t>在上述网站</w:t>
      </w:r>
      <w:r>
        <w:rPr>
          <w:rFonts w:ascii="微软雅黑" w:hAnsi="微软雅黑" w:eastAsia="微软雅黑" w:cs="宋体"/>
          <w:color w:val="000000"/>
        </w:rPr>
        <w:t>查询结果显示“</w:t>
      </w:r>
      <w:r>
        <w:rPr>
          <w:rFonts w:hint="eastAsia" w:ascii="微软雅黑" w:hAnsi="微软雅黑" w:eastAsia="微软雅黑" w:cs="宋体"/>
          <w:color w:val="000000"/>
        </w:rPr>
        <w:t>很抱歉，没有找到您搜索的企业</w:t>
      </w:r>
      <w:r>
        <w:rPr>
          <w:rFonts w:ascii="微软雅黑" w:hAnsi="微软雅黑" w:eastAsia="微软雅黑" w:cs="宋体"/>
          <w:color w:val="000000"/>
        </w:rPr>
        <w:t>”</w:t>
      </w:r>
      <w:r>
        <w:rPr>
          <w:rFonts w:hint="eastAsia" w:ascii="微软雅黑" w:hAnsi="微软雅黑" w:eastAsia="微软雅黑" w:cs="宋体"/>
          <w:color w:val="000000"/>
        </w:rPr>
        <w:t>或“共0条记录”</w:t>
      </w:r>
      <w:r>
        <w:rPr>
          <w:rFonts w:ascii="微软雅黑" w:hAnsi="微软雅黑" w:eastAsia="微软雅黑" w:cs="宋体"/>
          <w:color w:val="000000"/>
        </w:rPr>
        <w:t>，视为没有上述不良</w:t>
      </w:r>
      <w:r>
        <w:rPr>
          <w:rFonts w:hint="eastAsia" w:ascii="微软雅黑" w:hAnsi="微软雅黑" w:eastAsia="微软雅黑"/>
          <w:color w:val="000000"/>
          <w:szCs w:val="21"/>
        </w:rPr>
        <w:t>信用信息</w:t>
      </w:r>
      <w:r>
        <w:rPr>
          <w:rFonts w:ascii="微软雅黑" w:hAnsi="微软雅黑" w:eastAsia="微软雅黑" w:cs="宋体"/>
          <w:color w:val="000000"/>
        </w:rPr>
        <w:t>记录 。</w:t>
      </w:r>
      <w:r>
        <w:rPr>
          <w:rFonts w:hint="eastAsia" w:ascii="微软雅黑" w:hAnsi="微软雅黑" w:eastAsia="微软雅黑" w:cs="宋体"/>
          <w:color w:val="000000"/>
        </w:rPr>
        <w:t>③、采购代理机构同时对信用信息查询记录和证据截图或下载存档</w:t>
      </w:r>
      <w:r>
        <w:rPr>
          <w:rFonts w:hint="eastAsia" w:ascii="微软雅黑" w:hAnsi="微软雅黑" w:eastAsia="微软雅黑" w:cs="宋体"/>
        </w:rPr>
        <w:t>。</w:t>
      </w:r>
      <w:r>
        <w:rPr>
          <w:rFonts w:hint="eastAsia" w:ascii="微软雅黑" w:hAnsi="微软雅黑" w:eastAsia="微软雅黑"/>
          <w:bCs/>
          <w:szCs w:val="21"/>
        </w:rPr>
        <w:t>）；</w:t>
      </w:r>
    </w:p>
    <w:p>
      <w:pPr>
        <w:numPr>
          <w:ilvl w:val="1"/>
          <w:numId w:val="3"/>
        </w:numPr>
        <w:adjustRightInd w:val="0"/>
        <w:snapToGrid w:val="0"/>
        <w:spacing w:line="360" w:lineRule="auto"/>
        <w:rPr>
          <w:rFonts w:ascii="微软雅黑" w:hAnsi="微软雅黑" w:eastAsia="微软雅黑"/>
          <w:b/>
        </w:rPr>
      </w:pPr>
      <w:r>
        <w:rPr>
          <w:rFonts w:hint="eastAsia" w:ascii="微软雅黑" w:hAnsi="微软雅黑" w:eastAsia="微软雅黑"/>
          <w:bCs/>
          <w:szCs w:val="21"/>
        </w:rPr>
        <w:t>已办理报名的供应商；</w:t>
      </w:r>
    </w:p>
    <w:p>
      <w:pPr>
        <w:numPr>
          <w:ilvl w:val="1"/>
          <w:numId w:val="3"/>
        </w:numPr>
        <w:adjustRightInd w:val="0"/>
        <w:snapToGrid w:val="0"/>
        <w:spacing w:line="360" w:lineRule="auto"/>
        <w:rPr>
          <w:rFonts w:ascii="微软雅黑" w:hAnsi="微软雅黑" w:eastAsia="微软雅黑"/>
          <w:bCs/>
          <w:szCs w:val="21"/>
        </w:rPr>
      </w:pPr>
      <w:r>
        <w:rPr>
          <w:rFonts w:hint="eastAsia" w:ascii="微软雅黑" w:hAnsi="微软雅黑" w:eastAsia="微软雅黑"/>
          <w:bCs/>
          <w:szCs w:val="21"/>
        </w:rPr>
        <w:t>本项目各包组均不接受联合体投标。</w:t>
      </w:r>
    </w:p>
    <w:p>
      <w:pPr>
        <w:widowControl/>
        <w:spacing w:line="360" w:lineRule="auto"/>
        <w:ind w:firstLine="525"/>
        <w:rPr>
          <w:rFonts w:ascii="微软雅黑" w:hAnsi="微软雅黑" w:eastAsia="微软雅黑" w:cs="宋体"/>
          <w:color w:val="000000"/>
          <w:sz w:val="24"/>
        </w:rPr>
      </w:pPr>
    </w:p>
    <w:p>
      <w:pPr>
        <w:pStyle w:val="2"/>
        <w:widowControl/>
        <w:numPr>
          <w:ilvl w:val="0"/>
          <w:numId w:val="0"/>
        </w:numPr>
        <w:ind w:left="992" w:hanging="992"/>
        <w:jc w:val="both"/>
        <w:rPr>
          <w:rFonts w:ascii="微软雅黑" w:hAnsi="微软雅黑" w:eastAsia="微软雅黑" w:cs="宋体"/>
          <w:color w:val="000000"/>
        </w:rPr>
      </w:pPr>
      <w:r>
        <w:rPr>
          <w:rFonts w:ascii="微软雅黑" w:hAnsi="微软雅黑" w:eastAsia="微软雅黑" w:cs="宋体"/>
          <w:color w:val="000000"/>
        </w:rPr>
        <w:t>二、服务要求</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服务要求：</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投标人必须配备完善医疗冷链物流系统和信息服务体系，要保证接收、送检标本运输过程的安全，保证标本的质量。</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投标人提供每周六天的上门接收标本的服务，时间为8：30至17：30。遇特殊标本可机动收取。</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投标人具有规范标本接收、登记和包装流程，保证标本质量和安全，确保标本顺利交接，方便查核。</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投标人标本接收人员要通过严格培训，负责标本质量的初检、标识的核对，标本的接收登记及包装储存。</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投标人必须确保及时接收、送检标本和及时检验。标本不符合检验要求时，应及时通知采购人重新取样。</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标本在送检过程中出现延迟、遗漏、丢失等情况，投标人应有完善的应急预案予以妥善解决，否则投标人应承担相应责任。</w:t>
      </w:r>
    </w:p>
    <w:p>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部分特殊检查项目需要的采样器、知情同意书、专用的患者资料登记申请单等由投标人免费提供。</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结果查询：</w:t>
      </w:r>
    </w:p>
    <w:p>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能保证检验结果实时网络传送，实现实验室数据的汇总、储存、传输功能，投标人负责与医院LIS和HIS系统对接,需符合国家信息安全有关的规定和要求。</w:t>
      </w:r>
    </w:p>
    <w:p>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提供网上查询服务，以供随时查询进度和结果。</w:t>
      </w:r>
    </w:p>
    <w:p>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提供电话查询服务，危急值专人电话跟进，确保患者检测信息与临床医生的畅通。</w:t>
      </w:r>
    </w:p>
    <w:p>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医院医务人员可以随时调阅检验结果，投标人须保证病人的资料的准确性和检验结果的及时性，并提供系统使用的必要培训与技术支持。</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技术支持：</w:t>
      </w:r>
    </w:p>
    <w:p>
      <w:pPr>
        <w:pStyle w:val="26"/>
        <w:numPr>
          <w:ilvl w:val="0"/>
          <w:numId w:val="7"/>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投标人通过IS015189医学实验室认证和卫生部临床检验中心组织的室间质评，有完整的培训体系。</w:t>
      </w:r>
    </w:p>
    <w:p>
      <w:pPr>
        <w:pStyle w:val="26"/>
        <w:numPr>
          <w:ilvl w:val="0"/>
          <w:numId w:val="7"/>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投标实验室有参加卫生部临床检验中心组织的室间质评者优先。</w:t>
      </w:r>
    </w:p>
    <w:p>
      <w:pPr>
        <w:pStyle w:val="26"/>
        <w:numPr>
          <w:ilvl w:val="0"/>
          <w:numId w:val="7"/>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拥有权威机构的技术支撑，能依托权威技术支撑机构，以及同一系统内的三甲医院的资源，协助医院开展进修培训、协助医院开展继续教育、学术交流活动。</w:t>
      </w:r>
    </w:p>
    <w:p>
      <w:pPr>
        <w:pStyle w:val="26"/>
        <w:numPr>
          <w:ilvl w:val="0"/>
          <w:numId w:val="7"/>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提供采购人医务工作人员到投标人实验室进修的机会，以提高采购人医务工作人员的专业技能。协助设计、制作相关医学检验宣传资料。能够协助检验科的建设和发展，每年提供检验人员免费进修和ISO15189知识培训工作。</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人员要求：</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投标人所委派本项目的人员配备必须合理，职责明确，提供完备的服务团队，包括项目负责人、技术人员等需具备医学检验、临床医学资格证等。</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车辆要求：</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 xml:space="preserve">配备接收、送检的车辆：车辆必须配备专用车载冰箱或保温箱，冰箱或保温箱必须有相应的温度记录表。 </w:t>
      </w:r>
    </w:p>
    <w:p>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提供售后服务：</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中标人需提供免费服务电话、网络查询、微信查询等多种渠道供采购人相关临床部门进行业务咨询、报告查询、账单查询统计功能。制定完善制定和流程保障上门服务，并派驻具有医学检验背景的专业人员提供上门售后服务。</w:t>
      </w:r>
    </w:p>
    <w:p>
      <w:pPr>
        <w:spacing w:line="360" w:lineRule="auto"/>
        <w:rPr>
          <w:rFonts w:ascii="微软雅黑" w:hAnsi="微软雅黑" w:eastAsia="微软雅黑" w:cs="宋体"/>
          <w:b/>
          <w:szCs w:val="21"/>
        </w:rPr>
      </w:pPr>
      <w:r>
        <w:rPr>
          <w:rFonts w:hint="eastAsia" w:ascii="微软雅黑" w:hAnsi="微软雅黑" w:eastAsia="微软雅黑" w:cs="宋体"/>
          <w:b/>
          <w:szCs w:val="21"/>
        </w:rPr>
        <w:t>（三）质量要求：</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投标人实验室具有完善的质量管理体系，每次检测都有严格的室内质控，每年参加卫生部的质量控制和室间质量评估工作，以控制诊断结果的质量，通过ISO15189医学实验室质量认可，定期参与质量评审。因投标实验室质量因素导致的医疗纠纷、事故等不良后果的，由此产生的赔偿责任由中标人承担。</w:t>
      </w:r>
    </w:p>
    <w:p>
      <w:pPr>
        <w:pStyle w:val="2"/>
        <w:widowControl/>
        <w:numPr>
          <w:ilvl w:val="0"/>
          <w:numId w:val="0"/>
        </w:numPr>
        <w:ind w:left="992" w:hanging="992"/>
        <w:jc w:val="both"/>
        <w:rPr>
          <w:rFonts w:ascii="微软雅黑" w:hAnsi="微软雅黑" w:eastAsia="微软雅黑" w:cs="Cambria"/>
        </w:rPr>
      </w:pPr>
      <w:r>
        <w:rPr>
          <w:rFonts w:ascii="微软雅黑" w:hAnsi="微软雅黑" w:eastAsia="微软雅黑" w:cs="宋体"/>
          <w:color w:val="000000"/>
        </w:rPr>
        <w:t>三、商务要求</w:t>
      </w:r>
    </w:p>
    <w:p>
      <w:pPr>
        <w:widowControl/>
        <w:spacing w:line="360" w:lineRule="auto"/>
        <w:jc w:val="left"/>
        <w:rPr>
          <w:rFonts w:ascii="微软雅黑" w:hAnsi="微软雅黑" w:eastAsia="微软雅黑" w:cs="宋体"/>
          <w:color w:val="000000"/>
          <w:szCs w:val="21"/>
        </w:rPr>
      </w:pPr>
      <w:r>
        <w:rPr>
          <w:rFonts w:hint="eastAsia" w:ascii="微软雅黑" w:hAnsi="微软雅黑" w:eastAsia="微软雅黑" w:cs="微软雅黑"/>
          <w:color w:val="000000"/>
          <w:kern w:val="0"/>
          <w:szCs w:val="21"/>
          <w:lang w:bidi="ar"/>
        </w:rPr>
        <w:t>1、本次项目服务期为</w:t>
      </w:r>
      <w:r>
        <w:rPr>
          <w:rFonts w:hint="eastAsia" w:ascii="微软雅黑" w:hAnsi="微软雅黑" w:eastAsia="微软雅黑" w:cs="微软雅黑"/>
          <w:color w:val="000000"/>
          <w:kern w:val="0"/>
          <w:szCs w:val="21"/>
          <w:lang w:eastAsia="zh-CN" w:bidi="ar"/>
        </w:rPr>
        <w:t>一</w:t>
      </w:r>
      <w:bookmarkStart w:id="0" w:name="_GoBack"/>
      <w:bookmarkEnd w:id="0"/>
      <w:r>
        <w:rPr>
          <w:rFonts w:hint="eastAsia" w:ascii="微软雅黑" w:hAnsi="微软雅黑" w:eastAsia="微软雅黑" w:cs="微软雅黑"/>
          <w:color w:val="000000"/>
          <w:kern w:val="0"/>
          <w:szCs w:val="21"/>
          <w:lang w:bidi="ar"/>
        </w:rPr>
        <w:t>年。</w:t>
      </w:r>
    </w:p>
    <w:p>
      <w:pPr>
        <w:widowControl/>
        <w:spacing w:line="360" w:lineRule="auto"/>
        <w:rPr>
          <w:rFonts w:ascii="微软雅黑" w:hAnsi="微软雅黑" w:eastAsia="微软雅黑" w:cs="微软雅黑"/>
          <w:color w:val="000000"/>
          <w:kern w:val="0"/>
          <w:szCs w:val="21"/>
          <w:lang w:bidi="ar"/>
        </w:rPr>
      </w:pPr>
      <w:r>
        <w:rPr>
          <w:rFonts w:hint="eastAsia" w:ascii="微软雅黑" w:hAnsi="微软雅黑" w:eastAsia="微软雅黑" w:cs="微软雅黑"/>
          <w:color w:val="000000"/>
          <w:kern w:val="0"/>
          <w:szCs w:val="21"/>
          <w:lang w:bidi="ar"/>
        </w:rPr>
        <w:t>2、报价与付款</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投标人的投标折扣率报价不能为负数或零。投标报价包括但不限于：完成本次招标所有服务内容的费用，包括人工费、检验费、材料费、设备使用费、各种税务费、必须的辅助材料费及合同实施过程中不可预见费用等全部费用。</w:t>
      </w:r>
    </w:p>
    <w:p>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★投标人必须对本包组的全部内容进行投标报价，不可有缺漏。</w:t>
      </w:r>
    </w:p>
    <w:p>
      <w:pPr>
        <w:pStyle w:val="26"/>
        <w:snapToGrid w:val="0"/>
        <w:spacing w:line="360" w:lineRule="auto"/>
        <w:rPr>
          <w:rFonts w:ascii="微软雅黑" w:hAnsi="微软雅黑" w:eastAsia="微软雅黑" w:cs="宋体"/>
          <w:color w:val="000000"/>
        </w:rPr>
      </w:pPr>
      <w:r>
        <w:rPr>
          <w:rFonts w:hint="eastAsia" w:ascii="微软雅黑" w:hAnsi="微软雅黑" w:eastAsia="微软雅黑" w:cs="仿宋_GB2312"/>
          <w:bCs/>
          <w:szCs w:val="21"/>
        </w:rPr>
        <w:t>付款</w:t>
      </w:r>
      <w:r>
        <w:rPr>
          <w:rFonts w:hint="eastAsia" w:ascii="微软雅黑" w:hAnsi="微软雅黑" w:eastAsia="微软雅黑" w:cs="宋体"/>
          <w:szCs w:val="21"/>
        </w:rPr>
        <w:t>方式</w:t>
      </w:r>
      <w:r>
        <w:rPr>
          <w:rFonts w:hint="eastAsia" w:ascii="微软雅黑" w:hAnsi="微软雅黑" w:eastAsia="微软雅黑" w:cs="仿宋_GB2312"/>
          <w:bCs/>
          <w:szCs w:val="21"/>
        </w:rPr>
        <w:t>：</w:t>
      </w:r>
      <w:r>
        <w:rPr>
          <w:rFonts w:hint="eastAsia" w:ascii="微软雅黑" w:hAnsi="微软雅黑" w:eastAsia="微软雅黑" w:cs="宋体"/>
          <w:szCs w:val="21"/>
        </w:rPr>
        <w:t>双方约定每月结算壹次，中标人对标本进行检测后，每月凭检测的统计表开具相应的正式发票与采购人核对送检数量，采购人以《汕头市公立医疗机构基本医疗服务价格》核准公布的收费标准乘以折扣率后向中标人结算。（投标人实际结算价格=《汕头市公立医疗机构基本医疗服务价格》收费标准×折扣率×每月实际检测次数）。</w:t>
      </w:r>
    </w:p>
    <w:p>
      <w:pPr>
        <w:widowControl/>
        <w:spacing w:line="360" w:lineRule="auto"/>
        <w:ind w:firstLine="420"/>
        <w:rPr>
          <w:rFonts w:ascii="微软雅黑" w:hAnsi="微软雅黑" w:eastAsia="微软雅黑" w:cs="宋体"/>
          <w:color w:val="000000"/>
          <w:sz w:val="24"/>
        </w:rPr>
        <w:sectPr>
          <w:footerReference r:id="rId3" w:type="default"/>
          <w:pgSz w:w="11906" w:h="16838"/>
          <w:pgMar w:top="1440" w:right="1800" w:bottom="1440" w:left="1800" w:header="851" w:footer="992" w:gutter="0"/>
          <w:cols w:space="425" w:num="1"/>
          <w:docGrid w:type="lines" w:linePitch="312" w:charSpace="0"/>
        </w:sectPr>
      </w:pPr>
    </w:p>
    <w:p>
      <w:pPr>
        <w:pStyle w:val="2"/>
        <w:widowControl/>
        <w:numPr>
          <w:ilvl w:val="0"/>
          <w:numId w:val="0"/>
        </w:numPr>
        <w:ind w:left="992" w:hanging="992"/>
        <w:jc w:val="both"/>
        <w:rPr>
          <w:rFonts w:ascii="微软雅黑" w:hAnsi="微软雅黑" w:eastAsia="微软雅黑" w:cs="Cambria"/>
        </w:rPr>
      </w:pPr>
      <w:r>
        <w:rPr>
          <w:rFonts w:ascii="微软雅黑" w:hAnsi="微软雅黑" w:eastAsia="微软雅黑" w:cs="宋体"/>
          <w:color w:val="000000"/>
        </w:rPr>
        <w:t>四、评分标准表</w:t>
      </w:r>
    </w:p>
    <w:p>
      <w:pPr>
        <w:widowControl/>
        <w:spacing w:line="360" w:lineRule="auto"/>
        <w:rPr>
          <w:rFonts w:ascii="微软雅黑" w:hAnsi="微软雅黑" w:eastAsia="微软雅黑" w:cs="宋体"/>
          <w:color w:val="000000"/>
          <w:kern w:val="0"/>
          <w:sz w:val="24"/>
          <w:lang w:bidi="ar"/>
        </w:rPr>
      </w:pPr>
      <w:r>
        <w:rPr>
          <w:rFonts w:hint="eastAsia" w:ascii="微软雅黑" w:hAnsi="微软雅黑" w:eastAsia="微软雅黑" w:cs="宋体"/>
          <w:color w:val="000000"/>
          <w:kern w:val="0"/>
          <w:sz w:val="24"/>
          <w:lang w:bidi="ar"/>
        </w:rPr>
        <w:t>注：各评委按规定的范围内进行量化打分，并统计总分。</w:t>
      </w:r>
    </w:p>
    <w:tbl>
      <w:tblPr>
        <w:tblStyle w:val="13"/>
        <w:tblW w:w="940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3"/>
        <w:gridCol w:w="1512"/>
        <w:gridCol w:w="6159"/>
        <w:gridCol w:w="102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4"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序号</w:t>
            </w:r>
          </w:p>
        </w:tc>
        <w:tc>
          <w:tcPr>
            <w:tcW w:w="1512" w:type="dxa"/>
            <w:tcBorders>
              <w:top w:val="single" w:color="auto" w:sz="8" w:space="0"/>
              <w:left w:val="nil"/>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评审因素</w:t>
            </w:r>
          </w:p>
        </w:tc>
        <w:tc>
          <w:tcPr>
            <w:tcW w:w="6159" w:type="dxa"/>
            <w:tcBorders>
              <w:top w:val="single" w:color="auto" w:sz="8" w:space="0"/>
              <w:left w:val="nil"/>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评分细则</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9402" w:type="dxa"/>
            <w:gridSpan w:val="4"/>
            <w:tcBorders>
              <w:top w:val="single" w:color="auto" w:sz="8" w:space="0"/>
              <w:left w:val="single" w:color="auto" w:sz="8" w:space="0"/>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技术部分（满分</w:t>
            </w:r>
            <w:r>
              <w:rPr>
                <w:rFonts w:ascii="微软雅黑" w:hAnsi="微软雅黑" w:eastAsia="微软雅黑"/>
                <w:b/>
                <w:bCs/>
                <w:szCs w:val="21"/>
              </w:rPr>
              <w:t>42</w:t>
            </w:r>
            <w:r>
              <w:rPr>
                <w:rFonts w:hint="eastAsia" w:ascii="微软雅黑" w:hAnsi="微软雅黑" w:eastAsia="微软雅黑"/>
                <w:b/>
                <w:bCs/>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6"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pPr>
              <w:widowControl/>
              <w:numPr>
                <w:ilvl w:val="0"/>
                <w:numId w:val="8"/>
              </w:numPr>
              <w:adjustRightInd w:val="0"/>
              <w:snapToGrid w:val="0"/>
              <w:jc w:val="right"/>
              <w:rPr>
                <w:rFonts w:ascii="微软雅黑" w:hAnsi="微软雅黑" w:eastAsia="微软雅黑"/>
                <w:color w:val="000000" w:themeColor="text1"/>
                <w:szCs w:val="21"/>
                <w14:textFill>
                  <w14:solidFill>
                    <w14:schemeClr w14:val="tx1"/>
                  </w14:solidFill>
                </w14:textFill>
              </w:rPr>
            </w:pPr>
          </w:p>
        </w:tc>
        <w:tc>
          <w:tcPr>
            <w:tcW w:w="1512" w:type="dxa"/>
            <w:tcBorders>
              <w:top w:val="single" w:color="auto" w:sz="8" w:space="0"/>
              <w:left w:val="nil"/>
              <w:bottom w:val="single" w:color="auto" w:sz="8" w:space="0"/>
              <w:right w:val="single" w:color="auto" w:sz="8" w:space="0"/>
            </w:tcBorders>
            <w:vAlign w:val="center"/>
          </w:tcPr>
          <w:p>
            <w:pPr>
              <w:jc w:val="center"/>
              <w:rPr>
                <w:rFonts w:ascii="微软雅黑" w:hAnsi="微软雅黑" w:eastAsia="微软雅黑"/>
                <w:color w:val="000000"/>
                <w:szCs w:val="21"/>
              </w:rPr>
            </w:pPr>
            <w:r>
              <w:rPr>
                <w:rFonts w:hint="eastAsia" w:ascii="微软雅黑" w:hAnsi="微软雅黑" w:eastAsia="微软雅黑"/>
                <w:color w:val="000000"/>
                <w:szCs w:val="21"/>
              </w:rPr>
              <w:t>服务团队</w:t>
            </w:r>
          </w:p>
        </w:tc>
        <w:tc>
          <w:tcPr>
            <w:tcW w:w="6159" w:type="dxa"/>
            <w:tcBorders>
              <w:top w:val="single" w:color="auto" w:sz="8" w:space="0"/>
              <w:left w:val="nil"/>
              <w:bottom w:val="single" w:color="auto" w:sz="8" w:space="0"/>
              <w:right w:val="single" w:color="auto" w:sz="8" w:space="0"/>
            </w:tcBorders>
            <w:vAlign w:val="center"/>
          </w:tcPr>
          <w:p>
            <w:pPr>
              <w:widowControl/>
              <w:wordWrap w:val="0"/>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1、拟安排本项目的项目组人员至少</w:t>
            </w:r>
            <w:r>
              <w:rPr>
                <w:rFonts w:ascii="微软雅黑" w:hAnsi="微软雅黑" w:eastAsia="微软雅黑"/>
                <w:color w:val="000000"/>
                <w:kern w:val="0"/>
                <w:szCs w:val="21"/>
              </w:rPr>
              <w:t>10</w:t>
            </w:r>
            <w:r>
              <w:rPr>
                <w:rFonts w:hint="eastAsia" w:ascii="微软雅黑" w:hAnsi="微软雅黑" w:eastAsia="微软雅黑"/>
                <w:color w:val="000000"/>
                <w:kern w:val="0"/>
                <w:szCs w:val="21"/>
              </w:rPr>
              <w:t xml:space="preserve">人具备中级（或以上）检验技师职称，全部满足得 </w:t>
            </w:r>
            <w:r>
              <w:rPr>
                <w:rFonts w:ascii="微软雅黑" w:hAnsi="微软雅黑" w:eastAsia="微软雅黑"/>
                <w:color w:val="000000"/>
                <w:kern w:val="0"/>
                <w:szCs w:val="21"/>
              </w:rPr>
              <w:t>5</w:t>
            </w:r>
            <w:r>
              <w:rPr>
                <w:rFonts w:hint="eastAsia" w:ascii="微软雅黑" w:hAnsi="微软雅黑" w:eastAsia="微软雅黑"/>
                <w:color w:val="000000"/>
                <w:kern w:val="0"/>
                <w:szCs w:val="21"/>
              </w:rPr>
              <w:t xml:space="preserve"> 分，少一人扣</w:t>
            </w:r>
            <w:r>
              <w:rPr>
                <w:rFonts w:ascii="微软雅黑" w:hAnsi="微软雅黑" w:eastAsia="微软雅黑"/>
                <w:color w:val="000000"/>
                <w:kern w:val="0"/>
                <w:szCs w:val="21"/>
              </w:rPr>
              <w:t>0.5</w:t>
            </w:r>
            <w:r>
              <w:rPr>
                <w:rFonts w:hint="eastAsia" w:ascii="微软雅黑" w:hAnsi="微软雅黑" w:eastAsia="微软雅黑"/>
                <w:color w:val="000000"/>
                <w:kern w:val="0"/>
                <w:szCs w:val="21"/>
              </w:rPr>
              <w:t xml:space="preserve">分，扣完为止。 </w:t>
            </w:r>
          </w:p>
          <w:p>
            <w:pPr>
              <w:widowControl/>
              <w:wordWrap w:val="0"/>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2、拟安排本项的项目组人员至少5人具备中级（或以上）病理医师职称，全部满足得</w:t>
            </w:r>
            <w:r>
              <w:rPr>
                <w:rFonts w:ascii="微软雅黑" w:hAnsi="微软雅黑" w:eastAsia="微软雅黑"/>
                <w:color w:val="000000"/>
                <w:kern w:val="0"/>
                <w:szCs w:val="21"/>
              </w:rPr>
              <w:t>5</w:t>
            </w:r>
            <w:r>
              <w:rPr>
                <w:rFonts w:hint="eastAsia" w:ascii="微软雅黑" w:hAnsi="微软雅黑" w:eastAsia="微软雅黑"/>
                <w:color w:val="000000"/>
                <w:kern w:val="0"/>
                <w:szCs w:val="21"/>
              </w:rPr>
              <w:t>分，少一人扣</w:t>
            </w:r>
            <w:r>
              <w:rPr>
                <w:rFonts w:ascii="微软雅黑" w:hAnsi="微软雅黑" w:eastAsia="微软雅黑"/>
                <w:color w:val="000000"/>
                <w:kern w:val="0"/>
                <w:szCs w:val="21"/>
              </w:rPr>
              <w:t>1</w:t>
            </w:r>
            <w:r>
              <w:rPr>
                <w:rFonts w:hint="eastAsia" w:ascii="微软雅黑" w:hAnsi="微软雅黑" w:eastAsia="微软雅黑"/>
                <w:color w:val="000000"/>
                <w:kern w:val="0"/>
                <w:szCs w:val="21"/>
              </w:rPr>
              <w:t xml:space="preserve">分，扣完为止。 </w:t>
            </w:r>
          </w:p>
          <w:p>
            <w:pPr>
              <w:widowControl/>
              <w:autoSpaceDE w:val="0"/>
              <w:autoSpaceDN w:val="0"/>
              <w:adjustRightInd w:val="0"/>
              <w:snapToGrid w:val="0"/>
              <w:ind w:left="420" w:hanging="420" w:hangingChars="200"/>
              <w:jc w:val="left"/>
              <w:rPr>
                <w:rFonts w:ascii="微软雅黑" w:hAnsi="微软雅黑" w:eastAsia="微软雅黑"/>
                <w:b/>
                <w:strike/>
                <w:color w:val="000000"/>
                <w:kern w:val="0"/>
                <w:szCs w:val="21"/>
              </w:rPr>
            </w:pPr>
            <w:r>
              <w:rPr>
                <w:rFonts w:hint="eastAsia" w:ascii="微软雅黑" w:hAnsi="微软雅黑" w:eastAsia="微软雅黑"/>
                <w:b/>
                <w:bCs/>
                <w:color w:val="000000"/>
                <w:kern w:val="0"/>
                <w:szCs w:val="21"/>
              </w:rPr>
              <w:t>注：</w:t>
            </w:r>
            <w:r>
              <w:rPr>
                <w:rFonts w:hint="eastAsia" w:ascii="微软雅黑" w:hAnsi="微软雅黑" w:eastAsia="微软雅黑"/>
                <w:b/>
                <w:color w:val="000000"/>
                <w:kern w:val="0"/>
                <w:szCs w:val="21"/>
              </w:rPr>
              <w:t>提供相关人员的资格证书复印件并加盖供应商公章及</w:t>
            </w:r>
            <w:r>
              <w:rPr>
                <w:rFonts w:hint="eastAsia" w:ascii="微软雅黑" w:hAnsi="微软雅黑" w:eastAsia="微软雅黑"/>
                <w:b/>
                <w:color w:val="000000"/>
                <w:szCs w:val="21"/>
              </w:rPr>
              <w:t>服务团队成员</w:t>
            </w:r>
            <w:r>
              <w:rPr>
                <w:rFonts w:hint="eastAsia" w:ascii="微软雅黑" w:hAnsi="微软雅黑" w:eastAsia="微软雅黑"/>
                <w:b/>
                <w:color w:val="000000"/>
                <w:kern w:val="0"/>
                <w:szCs w:val="21"/>
              </w:rPr>
              <w:t>近半年任意</w:t>
            </w:r>
            <w:r>
              <w:rPr>
                <w:rFonts w:ascii="微软雅黑" w:hAnsi="微软雅黑" w:eastAsia="微软雅黑"/>
                <w:b/>
                <w:color w:val="000000"/>
                <w:kern w:val="0"/>
                <w:szCs w:val="21"/>
              </w:rPr>
              <w:t>1</w:t>
            </w:r>
            <w:r>
              <w:rPr>
                <w:rFonts w:hint="eastAsia" w:ascii="微软雅黑" w:hAnsi="微软雅黑" w:eastAsia="微软雅黑"/>
                <w:b/>
                <w:color w:val="000000"/>
                <w:kern w:val="0"/>
                <w:szCs w:val="21"/>
              </w:rPr>
              <w:t>个月的社保证明或聘用协议。（窗口打印件或网上截图均可）复印件加盖供应商公章，否则不得分。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color w:val="00B050"/>
                <w:kern w:val="0"/>
                <w:szCs w:val="21"/>
              </w:rPr>
            </w:pPr>
            <w:r>
              <w:rPr>
                <w:rFonts w:ascii="微软雅黑" w:hAnsi="微软雅黑" w:eastAsia="微软雅黑"/>
                <w:color w:val="000000"/>
                <w:szCs w:val="21"/>
              </w:rPr>
              <w:t>10</w:t>
            </w:r>
            <w:r>
              <w:rPr>
                <w:rFonts w:hint="eastAsia" w:ascii="微软雅黑" w:hAnsi="微软雅黑" w:eastAsia="微软雅黑"/>
                <w:color w:val="000000"/>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vMerge w:val="restart"/>
            <w:tcBorders>
              <w:top w:val="single" w:color="auto" w:sz="8" w:space="0"/>
              <w:left w:val="single" w:color="auto" w:sz="8" w:space="0"/>
              <w:bottom w:val="single" w:color="auto" w:sz="8" w:space="0"/>
              <w:right w:val="single" w:color="auto" w:sz="8" w:space="0"/>
            </w:tcBorders>
            <w:vAlign w:val="center"/>
          </w:tcPr>
          <w:p>
            <w:pPr>
              <w:widowControl/>
              <w:numPr>
                <w:ilvl w:val="0"/>
                <w:numId w:val="8"/>
              </w:numPr>
              <w:adjustRightInd w:val="0"/>
              <w:snapToGrid w:val="0"/>
              <w:jc w:val="right"/>
              <w:rPr>
                <w:rFonts w:ascii="微软雅黑" w:hAnsi="微软雅黑" w:eastAsia="微软雅黑"/>
                <w:szCs w:val="21"/>
              </w:rPr>
            </w:pPr>
          </w:p>
        </w:tc>
        <w:tc>
          <w:tcPr>
            <w:tcW w:w="1512" w:type="dxa"/>
            <w:vMerge w:val="restart"/>
            <w:tcBorders>
              <w:top w:val="nil"/>
              <w:left w:val="nil"/>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kern w:val="0"/>
                <w:szCs w:val="21"/>
              </w:rPr>
              <w:t>冷链物流服务能力</w:t>
            </w:r>
          </w:p>
        </w:tc>
        <w:tc>
          <w:tcPr>
            <w:tcW w:w="6159" w:type="dxa"/>
            <w:tcBorders>
              <w:top w:val="single" w:color="auto" w:sz="8" w:space="0"/>
              <w:left w:val="nil"/>
              <w:bottom w:val="single" w:color="auto" w:sz="8" w:space="0"/>
              <w:right w:val="single" w:color="auto" w:sz="8" w:space="0"/>
            </w:tcBorders>
            <w:vAlign w:val="center"/>
          </w:tcPr>
          <w:p>
            <w:pPr>
              <w:widowControl/>
              <w:numPr>
                <w:ilvl w:val="0"/>
                <w:numId w:val="9"/>
              </w:numPr>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供应商的物流标本箱具备GPS定位和温度监控功能，可实现全程实时监测的得2分，标本箱具有自主知识产权的，得</w:t>
            </w:r>
            <w:r>
              <w:rPr>
                <w:rFonts w:ascii="微软雅黑" w:hAnsi="微软雅黑" w:eastAsia="微软雅黑"/>
                <w:color w:val="000000"/>
                <w:kern w:val="0"/>
                <w:szCs w:val="21"/>
              </w:rPr>
              <w:t>4</w:t>
            </w:r>
            <w:r>
              <w:rPr>
                <w:rFonts w:hint="eastAsia" w:ascii="微软雅黑" w:hAnsi="微软雅黑" w:eastAsia="微软雅黑"/>
                <w:color w:val="000000"/>
                <w:kern w:val="0"/>
                <w:szCs w:val="21"/>
              </w:rPr>
              <w:t>分；</w:t>
            </w:r>
          </w:p>
          <w:p>
            <w:pPr>
              <w:widowControl/>
              <w:adjustRightInd w:val="0"/>
              <w:snapToGrid w:val="0"/>
              <w:jc w:val="left"/>
              <w:rPr>
                <w:rFonts w:ascii="微软雅黑" w:hAnsi="微软雅黑" w:eastAsia="微软雅黑"/>
                <w:b/>
                <w:kern w:val="0"/>
                <w:szCs w:val="21"/>
              </w:rPr>
            </w:pPr>
            <w:r>
              <w:rPr>
                <w:rFonts w:hint="eastAsia" w:ascii="微软雅黑" w:hAnsi="微软雅黑" w:eastAsia="微软雅黑"/>
                <w:b/>
                <w:color w:val="000000"/>
                <w:kern w:val="0"/>
                <w:szCs w:val="21"/>
              </w:rPr>
              <w:t>注：提供相关证明文件复印件并加盖供应商公章，不提供的不得分。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ascii="微软雅黑" w:hAnsi="微软雅黑" w:eastAsia="微软雅黑"/>
                <w:szCs w:val="21"/>
              </w:rPr>
              <w:t>6</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9"/>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供应商入选《GB/T28842-2012药品冷链物流运作规范》国家标准试点企业的，得2分；</w:t>
            </w:r>
          </w:p>
          <w:p>
            <w:pPr>
              <w:widowControl/>
              <w:adjustRightInd w:val="0"/>
              <w:snapToGrid w:val="0"/>
              <w:jc w:val="left"/>
              <w:rPr>
                <w:rFonts w:ascii="微软雅黑" w:hAnsi="微软雅黑" w:eastAsia="微软雅黑"/>
                <w:b/>
                <w:kern w:val="0"/>
                <w:szCs w:val="21"/>
              </w:rPr>
            </w:pPr>
            <w:r>
              <w:rPr>
                <w:rFonts w:hint="eastAsia" w:ascii="微软雅黑" w:hAnsi="微软雅黑" w:eastAsia="微软雅黑"/>
                <w:b/>
                <w:kern w:val="0"/>
                <w:szCs w:val="21"/>
              </w:rPr>
              <w:t>注：提供</w:t>
            </w:r>
            <w:r>
              <w:rPr>
                <w:rFonts w:hint="eastAsia" w:ascii="微软雅黑" w:hAnsi="微软雅黑" w:eastAsia="微软雅黑"/>
                <w:b/>
                <w:szCs w:val="21"/>
              </w:rPr>
              <w:t>相关证明文件</w:t>
            </w:r>
            <w:r>
              <w:rPr>
                <w:rFonts w:hint="eastAsia" w:ascii="微软雅黑" w:hAnsi="微软雅黑" w:eastAsia="微软雅黑"/>
                <w:b/>
                <w:kern w:val="0"/>
                <w:szCs w:val="21"/>
              </w:rPr>
              <w:t>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2分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03"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9"/>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供应商需提供专人专车收取标本服务，并提供详细的服务方案：</w:t>
            </w:r>
          </w:p>
          <w:p>
            <w:pPr>
              <w:widowControl/>
              <w:numPr>
                <w:ilvl w:val="0"/>
                <w:numId w:val="10"/>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服务方案详尽完整，</w:t>
            </w:r>
            <w:r>
              <w:rPr>
                <w:rFonts w:ascii="微软雅黑" w:hAnsi="微软雅黑" w:eastAsia="微软雅黑"/>
                <w:kern w:val="0"/>
                <w:szCs w:val="21"/>
              </w:rPr>
              <w:t>能高效地保障</w:t>
            </w:r>
            <w:r>
              <w:rPr>
                <w:rFonts w:hint="eastAsia" w:ascii="微软雅黑" w:hAnsi="微软雅黑" w:eastAsia="微软雅黑"/>
                <w:kern w:val="0"/>
                <w:szCs w:val="21"/>
              </w:rPr>
              <w:t>冷链物流服务，得4分；</w:t>
            </w:r>
          </w:p>
          <w:p>
            <w:pPr>
              <w:widowControl/>
              <w:numPr>
                <w:ilvl w:val="0"/>
                <w:numId w:val="10"/>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w:t>
            </w:r>
            <w:r>
              <w:rPr>
                <w:rFonts w:ascii="微软雅黑" w:hAnsi="微软雅黑" w:eastAsia="微软雅黑"/>
                <w:kern w:val="0"/>
                <w:szCs w:val="21"/>
              </w:rPr>
              <w:t>基本完整，具备可行性</w:t>
            </w:r>
            <w:r>
              <w:rPr>
                <w:rFonts w:hint="eastAsia" w:ascii="微软雅黑" w:hAnsi="微软雅黑" w:eastAsia="微软雅黑"/>
                <w:kern w:val="0"/>
                <w:szCs w:val="21"/>
              </w:rPr>
              <w:t>，</w:t>
            </w:r>
            <w:r>
              <w:rPr>
                <w:rFonts w:ascii="微软雅黑" w:hAnsi="微软雅黑" w:eastAsia="微软雅黑"/>
                <w:kern w:val="0"/>
                <w:szCs w:val="21"/>
              </w:rPr>
              <w:t>能保障</w:t>
            </w:r>
            <w:r>
              <w:rPr>
                <w:rFonts w:hint="eastAsia" w:ascii="微软雅黑" w:hAnsi="微软雅黑" w:eastAsia="微软雅黑"/>
                <w:kern w:val="0"/>
                <w:szCs w:val="21"/>
              </w:rPr>
              <w:t>冷链物流服务，得2分；</w:t>
            </w:r>
          </w:p>
          <w:p>
            <w:pPr>
              <w:widowControl/>
              <w:numPr>
                <w:ilvl w:val="0"/>
                <w:numId w:val="10"/>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w:t>
            </w:r>
            <w:r>
              <w:rPr>
                <w:rFonts w:ascii="微软雅黑" w:hAnsi="微软雅黑" w:eastAsia="微软雅黑"/>
                <w:kern w:val="0"/>
                <w:szCs w:val="21"/>
              </w:rPr>
              <w:t>缺乏合理性</w:t>
            </w:r>
            <w:r>
              <w:rPr>
                <w:rFonts w:hint="eastAsia" w:ascii="微软雅黑" w:hAnsi="微软雅黑" w:eastAsia="微软雅黑"/>
                <w:kern w:val="0"/>
                <w:szCs w:val="21"/>
              </w:rPr>
              <w:t>或未提供，不得分；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4分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pPr>
              <w:jc w:val="center"/>
              <w:rPr>
                <w:rFonts w:ascii="微软雅黑" w:hAnsi="微软雅黑" w:eastAsia="微软雅黑"/>
                <w:kern w:val="0"/>
                <w:szCs w:val="21"/>
              </w:rPr>
            </w:pPr>
            <w:r>
              <w:rPr>
                <w:rFonts w:hint="eastAsia" w:ascii="微软雅黑" w:hAnsi="微软雅黑" w:eastAsia="微软雅黑"/>
                <w:kern w:val="0"/>
                <w:szCs w:val="21"/>
              </w:rPr>
              <w:t>服务方案</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根据供应商所提供服务方案的整体质量、可行性进行打分：</w:t>
            </w:r>
          </w:p>
          <w:p>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服务方案的整体质量方案清晰、完善，可行性高，且高度符合项目需求的，得</w:t>
            </w:r>
            <w:r>
              <w:rPr>
                <w:rFonts w:ascii="微软雅黑" w:hAnsi="微软雅黑" w:eastAsia="微软雅黑"/>
                <w:kern w:val="0"/>
                <w:szCs w:val="21"/>
              </w:rPr>
              <w:t>10</w:t>
            </w:r>
            <w:r>
              <w:rPr>
                <w:rFonts w:hint="eastAsia" w:ascii="微软雅黑" w:hAnsi="微软雅黑" w:eastAsia="微软雅黑"/>
                <w:kern w:val="0"/>
                <w:szCs w:val="21"/>
              </w:rPr>
              <w:t>分。</w:t>
            </w:r>
          </w:p>
          <w:p>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服务方案的整体质量方案完善，可行性高，符合项目需求，得</w:t>
            </w:r>
            <w:r>
              <w:rPr>
                <w:rFonts w:ascii="微软雅黑" w:hAnsi="微软雅黑" w:eastAsia="微软雅黑"/>
                <w:kern w:val="0"/>
                <w:szCs w:val="21"/>
              </w:rPr>
              <w:t>6</w:t>
            </w:r>
            <w:r>
              <w:rPr>
                <w:rFonts w:hint="eastAsia" w:ascii="微软雅黑" w:hAnsi="微软雅黑" w:eastAsia="微软雅黑"/>
                <w:kern w:val="0"/>
                <w:szCs w:val="21"/>
              </w:rPr>
              <w:t>分。</w:t>
            </w:r>
          </w:p>
          <w:p>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服务方案的整体质量方案基本完整，具备一定可行性，基本符合项目需求，得</w:t>
            </w:r>
            <w:r>
              <w:rPr>
                <w:rFonts w:ascii="微软雅黑" w:hAnsi="微软雅黑" w:eastAsia="微软雅黑"/>
                <w:kern w:val="0"/>
                <w:szCs w:val="21"/>
              </w:rPr>
              <w:t>3</w:t>
            </w:r>
            <w:r>
              <w:rPr>
                <w:rFonts w:hint="eastAsia" w:ascii="微软雅黑" w:hAnsi="微软雅黑" w:eastAsia="微软雅黑"/>
                <w:kern w:val="0"/>
                <w:szCs w:val="21"/>
              </w:rPr>
              <w:t>分。</w:t>
            </w:r>
          </w:p>
          <w:p>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ascii="微软雅黑" w:hAnsi="微软雅黑" w:eastAsia="微软雅黑"/>
                <w:szCs w:val="21"/>
              </w:rPr>
              <w:t>10</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检验信息化服务能力方案</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 xml:space="preserve">供应商具备信息化服务能力，服务方开发能力达到CMMI3水平并取得相关认证，同时保证医疗信息安全，系统信息安全等级通过ISO27001认证，根据供应商提供的检验信息化服务能力方案（内容包括：1. 供应商需提供标本检测所需信息系统等信息化工具及技术支持并具备自建检验信息系统开发、实施能力的相关方案。2.供应商需提供能够与医院HIS或LIS接入方案）进行评审： </w:t>
            </w:r>
          </w:p>
          <w:p>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优：方案清晰、完善，可行性高，且高度符合项目需求的，得</w:t>
            </w:r>
            <w:r>
              <w:rPr>
                <w:rFonts w:ascii="微软雅黑" w:hAnsi="微软雅黑" w:eastAsia="微软雅黑"/>
                <w:kern w:val="0"/>
                <w:szCs w:val="21"/>
              </w:rPr>
              <w:t>5</w:t>
            </w:r>
            <w:r>
              <w:rPr>
                <w:rFonts w:hint="eastAsia" w:ascii="微软雅黑" w:hAnsi="微软雅黑" w:eastAsia="微软雅黑"/>
                <w:kern w:val="0"/>
                <w:szCs w:val="21"/>
              </w:rPr>
              <w:t>分。</w:t>
            </w:r>
          </w:p>
          <w:p>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良：方案完善，可行性高，符合项目需求，得</w:t>
            </w:r>
            <w:r>
              <w:rPr>
                <w:rFonts w:ascii="微软雅黑" w:hAnsi="微软雅黑" w:eastAsia="微软雅黑"/>
                <w:kern w:val="0"/>
                <w:szCs w:val="21"/>
              </w:rPr>
              <w:t>3</w:t>
            </w:r>
            <w:r>
              <w:rPr>
                <w:rFonts w:hint="eastAsia" w:ascii="微软雅黑" w:hAnsi="微软雅黑" w:eastAsia="微软雅黑"/>
                <w:kern w:val="0"/>
                <w:szCs w:val="21"/>
              </w:rPr>
              <w:t>分。</w:t>
            </w:r>
          </w:p>
          <w:p>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中：方案基本完整，具备一定可行性，基本符合项目需求，得</w:t>
            </w:r>
            <w:r>
              <w:rPr>
                <w:rFonts w:ascii="微软雅黑" w:hAnsi="微软雅黑" w:eastAsia="微软雅黑"/>
                <w:kern w:val="0"/>
                <w:szCs w:val="21"/>
              </w:rPr>
              <w:t>1</w:t>
            </w:r>
            <w:r>
              <w:rPr>
                <w:rFonts w:hint="eastAsia" w:ascii="微软雅黑" w:hAnsi="微软雅黑" w:eastAsia="微软雅黑"/>
                <w:kern w:val="0"/>
                <w:szCs w:val="21"/>
              </w:rPr>
              <w:t>分。</w:t>
            </w:r>
          </w:p>
          <w:p>
            <w:pPr>
              <w:widowControl/>
              <w:numPr>
                <w:ilvl w:val="0"/>
                <w:numId w:val="12"/>
              </w:numPr>
              <w:adjustRightInd w:val="0"/>
              <w:snapToGrid w:val="0"/>
              <w:jc w:val="left"/>
              <w:rPr>
                <w:rFonts w:ascii="微软雅黑" w:hAnsi="微软雅黑" w:eastAsia="微软雅黑"/>
                <w:szCs w:val="21"/>
              </w:rPr>
            </w:pPr>
            <w:r>
              <w:rPr>
                <w:rFonts w:hint="eastAsia" w:ascii="微软雅黑" w:hAnsi="微软雅黑" w:eastAsia="微软雅黑"/>
                <w:kern w:val="0"/>
                <w:szCs w:val="21"/>
              </w:rPr>
              <w:t>差：方案差，不符合项目需求，得0分。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ascii="微软雅黑" w:hAnsi="微软雅黑" w:eastAsia="微软雅黑"/>
                <w:szCs w:val="21"/>
              </w:rPr>
              <w:t>5</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售后服务方案</w:t>
            </w:r>
          </w:p>
        </w:tc>
        <w:tc>
          <w:tcPr>
            <w:tcW w:w="6159" w:type="dxa"/>
            <w:tcBorders>
              <w:top w:val="single" w:color="auto" w:sz="8" w:space="0"/>
              <w:left w:val="nil"/>
              <w:bottom w:val="single" w:color="auto" w:sz="8" w:space="0"/>
              <w:right w:val="single" w:color="auto" w:sz="8" w:space="0"/>
            </w:tcBorders>
            <w:vAlign w:val="center"/>
          </w:tcPr>
          <w:p>
            <w:pPr>
              <w:widowControl/>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根据供应商提供的售后服务承诺方案，售后服务计划及方案是否合理、是否有针对项目制定完善、可靠的售后服务方案进行评分：</w:t>
            </w:r>
          </w:p>
          <w:p>
            <w:pPr>
              <w:widowControl/>
              <w:numPr>
                <w:ilvl w:val="0"/>
                <w:numId w:val="13"/>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供应商售后服务方案完整、合理，实施方法可行，得</w:t>
            </w:r>
            <w:r>
              <w:rPr>
                <w:rFonts w:ascii="微软雅黑" w:hAnsi="微软雅黑" w:eastAsia="微软雅黑"/>
                <w:kern w:val="0"/>
                <w:szCs w:val="21"/>
              </w:rPr>
              <w:t>5</w:t>
            </w:r>
            <w:r>
              <w:rPr>
                <w:rFonts w:hint="eastAsia" w:ascii="微软雅黑" w:hAnsi="微软雅黑" w:eastAsia="微软雅黑"/>
                <w:kern w:val="0"/>
                <w:szCs w:val="21"/>
              </w:rPr>
              <w:t>分；</w:t>
            </w:r>
          </w:p>
          <w:p>
            <w:pPr>
              <w:widowControl/>
              <w:numPr>
                <w:ilvl w:val="0"/>
                <w:numId w:val="13"/>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供应商售后服务方案较完整，实施方法基本可行，得</w:t>
            </w:r>
            <w:r>
              <w:rPr>
                <w:rFonts w:ascii="微软雅黑" w:hAnsi="微软雅黑" w:eastAsia="微软雅黑"/>
                <w:kern w:val="0"/>
                <w:szCs w:val="21"/>
              </w:rPr>
              <w:t>2</w:t>
            </w:r>
            <w:r>
              <w:rPr>
                <w:rFonts w:hint="eastAsia" w:ascii="微软雅黑" w:hAnsi="微软雅黑" w:eastAsia="微软雅黑"/>
                <w:kern w:val="0"/>
                <w:szCs w:val="21"/>
              </w:rPr>
              <w:t>分；</w:t>
            </w:r>
          </w:p>
          <w:p>
            <w:pPr>
              <w:widowControl/>
              <w:numPr>
                <w:ilvl w:val="0"/>
                <w:numId w:val="13"/>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ascii="微软雅黑" w:hAnsi="微软雅黑" w:eastAsia="微软雅黑"/>
                <w:szCs w:val="21"/>
              </w:rPr>
              <w:t>5</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8" w:hRule="atLeast"/>
          <w:jc w:val="center"/>
        </w:trPr>
        <w:tc>
          <w:tcPr>
            <w:tcW w:w="9402" w:type="dxa"/>
            <w:gridSpan w:val="4"/>
            <w:tcBorders>
              <w:top w:val="single" w:color="auto" w:sz="4" w:space="0"/>
              <w:left w:val="single" w:color="auto" w:sz="8"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b/>
                <w:bCs/>
                <w:szCs w:val="21"/>
              </w:rPr>
              <w:t>商务部分（满分</w:t>
            </w:r>
            <w:r>
              <w:rPr>
                <w:rFonts w:ascii="微软雅黑" w:hAnsi="微软雅黑" w:eastAsia="微软雅黑"/>
                <w:b/>
                <w:bCs/>
                <w:szCs w:val="21"/>
              </w:rPr>
              <w:t>43</w:t>
            </w:r>
            <w:r>
              <w:rPr>
                <w:rFonts w:hint="eastAsia" w:ascii="微软雅黑" w:hAnsi="微软雅黑" w:eastAsia="微软雅黑"/>
                <w:b/>
                <w:bCs/>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tcBorders>
              <w:top w:val="nil"/>
              <w:left w:val="single" w:color="auto" w:sz="8" w:space="0"/>
              <w:bottom w:val="single" w:color="auto" w:sz="8" w:space="0"/>
              <w:right w:val="single" w:color="auto" w:sz="8" w:space="0"/>
            </w:tcBorders>
            <w:vAlign w:val="center"/>
          </w:tcPr>
          <w:p>
            <w:pPr>
              <w:widowControl/>
              <w:numPr>
                <w:ilvl w:val="0"/>
                <w:numId w:val="14"/>
              </w:numPr>
              <w:adjustRightInd w:val="0"/>
              <w:snapToGrid w:val="0"/>
              <w:jc w:val="center"/>
              <w:rPr>
                <w:rFonts w:ascii="微软雅黑" w:hAnsi="微软雅黑" w:eastAsia="微软雅黑"/>
                <w:szCs w:val="21"/>
              </w:rPr>
            </w:pPr>
          </w:p>
        </w:tc>
        <w:tc>
          <w:tcPr>
            <w:tcW w:w="1512" w:type="dxa"/>
            <w:tcBorders>
              <w:top w:val="nil"/>
              <w:left w:val="nil"/>
              <w:bottom w:val="single" w:color="auto" w:sz="8" w:space="0"/>
              <w:right w:val="single" w:color="auto" w:sz="8" w:space="0"/>
            </w:tcBorders>
            <w:vAlign w:val="center"/>
          </w:tcPr>
          <w:p>
            <w:pPr>
              <w:jc w:val="center"/>
              <w:rPr>
                <w:rFonts w:hint="eastAsia" w:ascii="微软雅黑" w:hAnsi="微软雅黑" w:eastAsia="微软雅黑"/>
                <w:szCs w:val="21"/>
              </w:rPr>
            </w:pPr>
            <w:r>
              <w:rPr>
                <w:rFonts w:hint="eastAsia" w:ascii="微软雅黑" w:hAnsi="微软雅黑" w:eastAsia="微软雅黑"/>
                <w:szCs w:val="21"/>
              </w:rPr>
              <w:t>学术、科研技术实力</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szCs w:val="21"/>
              </w:rPr>
            </w:pPr>
            <w:r>
              <w:rPr>
                <w:rFonts w:hint="eastAsia" w:ascii="微软雅黑" w:hAnsi="微软雅黑" w:eastAsia="微软雅黑"/>
                <w:szCs w:val="21"/>
              </w:rPr>
              <w:t>供应商2017年至今获得省级或以上科研项目立项的，得</w:t>
            </w:r>
            <w:r>
              <w:rPr>
                <w:rFonts w:ascii="微软雅黑" w:hAnsi="微软雅黑" w:eastAsia="微软雅黑"/>
                <w:szCs w:val="21"/>
              </w:rPr>
              <w:t>5</w:t>
            </w:r>
            <w:r>
              <w:rPr>
                <w:rFonts w:hint="eastAsia" w:ascii="微软雅黑" w:hAnsi="微软雅黑" w:eastAsia="微软雅黑"/>
                <w:szCs w:val="21"/>
              </w:rPr>
              <w:t>分，</w:t>
            </w:r>
            <w:r>
              <w:rPr>
                <w:rFonts w:hint="eastAsia" w:ascii="微软雅黑" w:hAnsi="微软雅黑" w:eastAsia="微软雅黑" w:cs="宋体"/>
                <w:szCs w:val="21"/>
              </w:rPr>
              <w:t>其余情况不得分。</w:t>
            </w:r>
          </w:p>
          <w:p>
            <w:pPr>
              <w:widowControl/>
              <w:numPr>
                <w:ilvl w:val="0"/>
                <w:numId w:val="15"/>
              </w:numPr>
              <w:adjustRightInd w:val="0"/>
              <w:snapToGrid w:val="0"/>
              <w:jc w:val="left"/>
              <w:rPr>
                <w:rFonts w:hint="eastAsia" w:ascii="微软雅黑" w:hAnsi="微软雅黑" w:eastAsia="微软雅黑" w:cs="宋体"/>
                <w:szCs w:val="21"/>
              </w:rPr>
            </w:pPr>
            <w:r>
              <w:rPr>
                <w:rFonts w:hint="eastAsia" w:ascii="微软雅黑" w:hAnsi="微软雅黑" w:eastAsia="微软雅黑"/>
                <w:b/>
                <w:kern w:val="0"/>
                <w:szCs w:val="21"/>
              </w:rPr>
              <w:t>注：提供</w:t>
            </w:r>
            <w:r>
              <w:rPr>
                <w:rFonts w:hint="eastAsia" w:ascii="微软雅黑" w:hAnsi="微软雅黑" w:eastAsia="微软雅黑"/>
                <w:b/>
                <w:szCs w:val="21"/>
              </w:rPr>
              <w:t>相关证明文件</w:t>
            </w:r>
            <w:r>
              <w:rPr>
                <w:rFonts w:hint="eastAsia" w:ascii="微软雅黑" w:hAnsi="微软雅黑" w:eastAsia="微软雅黑"/>
                <w:b/>
                <w:kern w:val="0"/>
                <w:szCs w:val="21"/>
              </w:rPr>
              <w:t>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hint="eastAsia" w:ascii="微软雅黑" w:hAnsi="微软雅黑" w:eastAsia="微软雅黑"/>
                <w:szCs w:val="21"/>
              </w:rPr>
            </w:pPr>
            <w:r>
              <w:rPr>
                <w:rFonts w:hint="eastAsia" w:ascii="微软雅黑" w:hAnsi="微软雅黑" w:eastAsia="微软雅黑"/>
                <w:szCs w:val="21"/>
              </w:rPr>
              <w:t>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restart"/>
            <w:tcBorders>
              <w:top w:val="nil"/>
              <w:left w:val="single" w:color="auto" w:sz="8" w:space="0"/>
              <w:bottom w:val="single" w:color="auto" w:sz="8" w:space="0"/>
              <w:right w:val="single" w:color="auto" w:sz="8" w:space="0"/>
            </w:tcBorders>
            <w:vAlign w:val="center"/>
          </w:tcPr>
          <w:p>
            <w:pPr>
              <w:widowControl/>
              <w:numPr>
                <w:ilvl w:val="0"/>
                <w:numId w:val="14"/>
              </w:numPr>
              <w:adjustRightInd w:val="0"/>
              <w:snapToGrid w:val="0"/>
              <w:jc w:val="center"/>
              <w:rPr>
                <w:rFonts w:ascii="微软雅黑" w:hAnsi="微软雅黑" w:eastAsia="微软雅黑"/>
                <w:szCs w:val="21"/>
              </w:rPr>
            </w:pPr>
          </w:p>
        </w:tc>
        <w:tc>
          <w:tcPr>
            <w:tcW w:w="1512" w:type="dxa"/>
            <w:vMerge w:val="restart"/>
            <w:tcBorders>
              <w:top w:val="nil"/>
              <w:left w:val="nil"/>
              <w:bottom w:val="single" w:color="auto" w:sz="8" w:space="0"/>
              <w:right w:val="single" w:color="auto" w:sz="8" w:space="0"/>
            </w:tcBorders>
            <w:vAlign w:val="center"/>
          </w:tcPr>
          <w:p>
            <w:pPr>
              <w:jc w:val="center"/>
              <w:rPr>
                <w:rFonts w:ascii="微软雅黑" w:hAnsi="微软雅黑" w:eastAsia="微软雅黑"/>
                <w:strike/>
                <w:szCs w:val="21"/>
              </w:rPr>
            </w:pPr>
            <w:r>
              <w:rPr>
                <w:rFonts w:hint="eastAsia" w:ascii="微软雅黑" w:hAnsi="微软雅黑" w:eastAsia="微软雅黑"/>
                <w:szCs w:val="21"/>
              </w:rPr>
              <w:t>综合实力（提供相关证明文件复印件并加盖供应商公章，不提供的不得分。）</w:t>
            </w: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kern w:val="0"/>
                <w:szCs w:val="21"/>
              </w:rPr>
            </w:pPr>
            <w:r>
              <w:rPr>
                <w:rFonts w:hint="eastAsia" w:ascii="微软雅黑" w:hAnsi="微软雅黑" w:eastAsia="微软雅黑" w:cs="宋体"/>
                <w:szCs w:val="21"/>
              </w:rPr>
              <w:t>通过知识产权管理体系认证，其认证范围包括临床医学检验服务和临床医学检验技术的研发的，得</w:t>
            </w:r>
            <w:r>
              <w:rPr>
                <w:rFonts w:ascii="微软雅黑" w:hAnsi="微软雅黑" w:eastAsia="微软雅黑" w:cs="宋体"/>
                <w:szCs w:val="21"/>
              </w:rPr>
              <w:t>6</w:t>
            </w:r>
            <w:r>
              <w:rPr>
                <w:rFonts w:hint="eastAsia" w:ascii="微软雅黑" w:hAnsi="微软雅黑" w:eastAsia="微软雅黑" w:cs="宋体"/>
                <w:szCs w:val="21"/>
              </w:rPr>
              <w:t>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continue"/>
            <w:tcBorders>
              <w:top w:val="nil"/>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trike/>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cs="宋体"/>
                <w:szCs w:val="21"/>
              </w:rPr>
            </w:pPr>
            <w:r>
              <w:rPr>
                <w:rFonts w:hint="eastAsia" w:ascii="微软雅黑" w:hAnsi="微软雅黑" w:eastAsia="微软雅黑" w:cs="宋体"/>
                <w:szCs w:val="21"/>
              </w:rPr>
              <w:t>供应商物流系统获得国家公安部信息系统安全等级保护三级或以上备案</w:t>
            </w:r>
            <w:r>
              <w:rPr>
                <w:rFonts w:hint="eastAsia" w:ascii="微软雅黑" w:hAnsi="微软雅黑" w:eastAsia="微软雅黑"/>
                <w:kern w:val="0"/>
                <w:szCs w:val="21"/>
              </w:rPr>
              <w:t>的，得6分，其余情况不得分。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continue"/>
            <w:tcBorders>
              <w:top w:val="nil"/>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trike/>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供应商为省级或以上基因检测技术应用推广示范中心建设项目建设单位的，得6分，其余情况不得分。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vMerge w:val="continue"/>
            <w:tcBorders>
              <w:top w:val="nil"/>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trike/>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供应商获得国家批准的肿瘤基因测序技术应用试点资质的，得6分，其余情况不得分。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vMerge w:val="continue"/>
            <w:tcBorders>
              <w:top w:val="nil"/>
              <w:left w:val="single" w:color="auto" w:sz="8" w:space="0"/>
              <w:bottom w:val="single" w:color="auto" w:sz="8" w:space="0"/>
              <w:right w:val="single" w:color="auto" w:sz="8" w:space="0"/>
            </w:tcBorders>
            <w:vAlign w:val="center"/>
          </w:tcPr>
          <w:p>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pPr>
              <w:widowControl/>
              <w:jc w:val="left"/>
              <w:rPr>
                <w:rFonts w:ascii="微软雅黑" w:hAnsi="微软雅黑" w:eastAsia="微软雅黑" w:cs="Times"/>
                <w:strike/>
                <w:szCs w:val="21"/>
              </w:rPr>
            </w:pPr>
          </w:p>
        </w:tc>
        <w:tc>
          <w:tcPr>
            <w:tcW w:w="6159" w:type="dxa"/>
            <w:tcBorders>
              <w:top w:val="single" w:color="auto" w:sz="8" w:space="0"/>
              <w:left w:val="nil"/>
              <w:bottom w:val="single" w:color="auto" w:sz="8" w:space="0"/>
              <w:right w:val="single" w:color="auto" w:sz="8" w:space="0"/>
            </w:tcBorders>
            <w:vAlign w:val="center"/>
          </w:tcPr>
          <w:p>
            <w:pPr>
              <w:widowControl/>
              <w:numPr>
                <w:ilvl w:val="0"/>
                <w:numId w:val="15"/>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供应商通过省级或以上工程技术研究中心（方向需与感染性疾病相关）的，得6分，其余情况不得分。</w:t>
            </w:r>
          </w:p>
        </w:tc>
        <w:tc>
          <w:tcPr>
            <w:tcW w:w="1028" w:type="dxa"/>
            <w:tcBorders>
              <w:top w:val="single" w:color="auto" w:sz="8" w:space="0"/>
              <w:left w:val="single" w:color="auto" w:sz="4" w:space="0"/>
              <w:bottom w:val="single" w:color="auto" w:sz="8" w:space="0"/>
              <w:right w:val="single" w:color="auto" w:sz="8" w:space="0"/>
            </w:tcBorders>
            <w:vAlign w:val="center"/>
          </w:tcPr>
          <w:p>
            <w:pPr>
              <w:ind w:left="-78" w:leftChars="-37" w:right="-73" w:rightChars="-35"/>
              <w:jc w:val="center"/>
              <w:rPr>
                <w:rFonts w:ascii="微软雅黑" w:hAnsi="微软雅黑" w:eastAsia="微软雅黑"/>
                <w:szCs w:val="21"/>
              </w:rPr>
            </w:pPr>
            <w:r>
              <w:rPr>
                <w:rFonts w:hint="eastAsia" w:ascii="微软雅黑" w:hAnsi="微软雅黑" w:eastAsia="微软雅黑"/>
                <w:szCs w:val="21"/>
              </w:rPr>
              <w:t>6分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pPr>
              <w:widowControl/>
              <w:numPr>
                <w:ilvl w:val="0"/>
                <w:numId w:val="14"/>
              </w:numPr>
              <w:adjustRightInd w:val="0"/>
              <w:snapToGrid w:val="0"/>
              <w:jc w:val="center"/>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同类项目业绩</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根据供应商在近三年内具有为不同的委托单位进行检验检查外送服务同类项目的业绩，每提供一份有效合同得</w:t>
            </w:r>
            <w:r>
              <w:rPr>
                <w:rFonts w:ascii="微软雅黑" w:hAnsi="微软雅黑" w:eastAsia="微软雅黑"/>
                <w:kern w:val="0"/>
                <w:szCs w:val="21"/>
              </w:rPr>
              <w:t>1</w:t>
            </w:r>
            <w:r>
              <w:rPr>
                <w:rFonts w:hint="eastAsia" w:ascii="微软雅黑" w:hAnsi="微软雅黑" w:eastAsia="微软雅黑"/>
                <w:kern w:val="0"/>
                <w:szCs w:val="21"/>
              </w:rPr>
              <w:t>分，最多得</w:t>
            </w:r>
            <w:r>
              <w:rPr>
                <w:rFonts w:ascii="微软雅黑" w:hAnsi="微软雅黑" w:eastAsia="微软雅黑"/>
                <w:kern w:val="0"/>
                <w:szCs w:val="21"/>
              </w:rPr>
              <w:t>8</w:t>
            </w:r>
            <w:r>
              <w:rPr>
                <w:rFonts w:hint="eastAsia" w:ascii="微软雅黑" w:hAnsi="微软雅黑" w:eastAsia="微软雅黑"/>
                <w:kern w:val="0"/>
                <w:szCs w:val="21"/>
              </w:rPr>
              <w:t>分。</w:t>
            </w:r>
          </w:p>
          <w:p>
            <w:pPr>
              <w:widowControl/>
              <w:adjustRightInd w:val="0"/>
              <w:snapToGrid w:val="0"/>
              <w:jc w:val="left"/>
              <w:rPr>
                <w:rFonts w:ascii="微软雅黑" w:hAnsi="微软雅黑" w:eastAsia="微软雅黑"/>
                <w:strike/>
                <w:color w:val="FF0000"/>
                <w:szCs w:val="21"/>
              </w:rPr>
            </w:pPr>
            <w:r>
              <w:rPr>
                <w:rFonts w:hint="eastAsia" w:ascii="微软雅黑" w:hAnsi="微软雅黑" w:eastAsia="微软雅黑"/>
                <w:kern w:val="0"/>
                <w:szCs w:val="21"/>
              </w:rPr>
              <w:t>注：同一家单位的合同不重复计分。需提供合同关键页（含签订合同双方的单位名称、合同项目名称与含签订合同双方的落款盖章、签订日期的关键页）复印件并加盖供应商公章作为证明材料，不提供的不得分。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pPr>
              <w:jc w:val="center"/>
              <w:rPr>
                <w:rFonts w:ascii="微软雅黑" w:hAnsi="微软雅黑" w:eastAsia="微软雅黑"/>
                <w:szCs w:val="21"/>
              </w:rPr>
            </w:pPr>
            <w:r>
              <w:rPr>
                <w:rFonts w:ascii="微软雅黑" w:hAnsi="微软雅黑" w:eastAsia="微软雅黑"/>
                <w:szCs w:val="21"/>
              </w:rPr>
              <w:t>8</w:t>
            </w:r>
            <w:r>
              <w:rPr>
                <w:rFonts w:hint="eastAsia" w:ascii="微软雅黑" w:hAnsi="微软雅黑" w:eastAsia="微软雅黑"/>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6" w:hRule="atLeast"/>
          <w:jc w:val="center"/>
        </w:trPr>
        <w:tc>
          <w:tcPr>
            <w:tcW w:w="9402" w:type="dxa"/>
            <w:gridSpan w:val="4"/>
            <w:tcBorders>
              <w:top w:val="single" w:color="auto" w:sz="4" w:space="0"/>
              <w:left w:val="single" w:color="auto" w:sz="8" w:space="0"/>
              <w:bottom w:val="single" w:color="auto" w:sz="8" w:space="0"/>
              <w:right w:val="single" w:color="auto" w:sz="8" w:space="0"/>
            </w:tcBorders>
            <w:vAlign w:val="center"/>
          </w:tcPr>
          <w:p>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价格部分（满分</w:t>
            </w:r>
            <w:r>
              <w:rPr>
                <w:rFonts w:ascii="微软雅黑" w:hAnsi="微软雅黑" w:eastAsia="微软雅黑"/>
                <w:b/>
                <w:bCs/>
                <w:szCs w:val="21"/>
              </w:rPr>
              <w:t>15</w:t>
            </w:r>
            <w:r>
              <w:rPr>
                <w:rFonts w:hint="eastAsia" w:ascii="微软雅黑" w:hAnsi="微软雅黑" w:eastAsia="微软雅黑"/>
                <w:b/>
                <w:bCs/>
                <w:szCs w:val="21"/>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pPr>
              <w:jc w:val="center"/>
              <w:rPr>
                <w:rFonts w:ascii="微软雅黑" w:hAnsi="微软雅黑" w:eastAsia="微软雅黑"/>
                <w:szCs w:val="21"/>
              </w:rPr>
            </w:pPr>
            <w:r>
              <w:rPr>
                <w:rFonts w:hint="eastAsia" w:ascii="微软雅黑" w:hAnsi="微软雅黑" w:eastAsia="微软雅黑"/>
                <w:szCs w:val="21"/>
              </w:rPr>
              <w:t>1</w:t>
            </w:r>
          </w:p>
        </w:tc>
        <w:tc>
          <w:tcPr>
            <w:tcW w:w="1512" w:type="dxa"/>
            <w:tcBorders>
              <w:top w:val="single" w:color="auto" w:sz="8" w:space="0"/>
              <w:left w:val="nil"/>
              <w:bottom w:val="single" w:color="auto" w:sz="8" w:space="0"/>
              <w:right w:val="single" w:color="auto" w:sz="8" w:space="0"/>
            </w:tcBorders>
            <w:vAlign w:val="center"/>
          </w:tcPr>
          <w:p>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投标报价</w:t>
            </w:r>
          </w:p>
        </w:tc>
        <w:tc>
          <w:tcPr>
            <w:tcW w:w="6159" w:type="dxa"/>
            <w:tcBorders>
              <w:top w:val="single" w:color="auto" w:sz="8" w:space="0"/>
              <w:left w:val="nil"/>
              <w:bottom w:val="single" w:color="auto" w:sz="8" w:space="0"/>
              <w:right w:val="single" w:color="auto" w:sz="8" w:space="0"/>
            </w:tcBorders>
            <w:vAlign w:val="center"/>
          </w:tcPr>
          <w:p>
            <w:pPr>
              <w:widowControl/>
              <w:adjustRightInd w:val="0"/>
              <w:snapToGrid w:val="0"/>
              <w:jc w:val="left"/>
              <w:rPr>
                <w:rFonts w:ascii="微软雅黑" w:hAnsi="微软雅黑" w:eastAsia="微软雅黑"/>
                <w:szCs w:val="21"/>
              </w:rPr>
            </w:pPr>
            <w:r>
              <w:rPr>
                <w:rFonts w:hint="eastAsia" w:ascii="微软雅黑" w:hAnsi="微软雅黑" w:eastAsia="微软雅黑"/>
                <w:szCs w:val="21"/>
              </w:rPr>
              <w:t>价格分应当采用低价优先法计算，即满足招标文件要求且投标价格最低的投标报价为评标基准价，其价格分为满分。其他供应商的价格分统一按照下列公式计算：</w:t>
            </w:r>
          </w:p>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投标报价</w:t>
            </w:r>
            <w:r>
              <w:rPr>
                <w:rFonts w:hint="eastAsia" w:ascii="微软雅黑" w:hAnsi="微软雅黑" w:eastAsia="微软雅黑" w:cs="宋体"/>
                <w:szCs w:val="21"/>
              </w:rPr>
              <w:t>得分</w:t>
            </w:r>
            <w:r>
              <w:rPr>
                <w:rFonts w:ascii="微软雅黑" w:hAnsi="微软雅黑" w:eastAsia="微软雅黑" w:cs="宋体"/>
                <w:szCs w:val="21"/>
              </w:rPr>
              <w:t>=</w:t>
            </w:r>
            <w:r>
              <w:rPr>
                <w:rFonts w:hint="eastAsia" w:ascii="微软雅黑" w:hAnsi="微软雅黑" w:eastAsia="微软雅黑" w:cs="宋体"/>
                <w:szCs w:val="21"/>
              </w:rPr>
              <w:t>（评标基准价／</w:t>
            </w:r>
            <w:r>
              <w:rPr>
                <w:rFonts w:hint="eastAsia" w:ascii="微软雅黑" w:hAnsi="微软雅黑" w:eastAsia="微软雅黑"/>
                <w:kern w:val="0"/>
                <w:szCs w:val="21"/>
              </w:rPr>
              <w:t>投标报价</w:t>
            </w:r>
            <w:r>
              <w:rPr>
                <w:rFonts w:hint="eastAsia" w:ascii="微软雅黑" w:hAnsi="微软雅黑" w:eastAsia="微软雅黑" w:cs="宋体"/>
                <w:szCs w:val="21"/>
              </w:rPr>
              <w:t>）×100%×</w:t>
            </w:r>
            <w:r>
              <w:rPr>
                <w:rFonts w:ascii="微软雅黑" w:hAnsi="微软雅黑" w:eastAsia="微软雅黑" w:cs="宋体"/>
                <w:szCs w:val="21"/>
              </w:rPr>
              <w:t>15</w:t>
            </w:r>
          </w:p>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备注：</w:t>
            </w:r>
          </w:p>
          <w:p>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1.投标报价得分四舍五入后，小数点后保留两位有效数；</w:t>
            </w:r>
          </w:p>
          <w:p>
            <w:pPr>
              <w:widowControl/>
              <w:adjustRightInd w:val="0"/>
              <w:snapToGrid w:val="0"/>
              <w:jc w:val="left"/>
              <w:rPr>
                <w:rFonts w:ascii="微软雅黑" w:hAnsi="微软雅黑" w:eastAsia="微软雅黑"/>
                <w:kern w:val="0"/>
                <w:szCs w:val="21"/>
              </w:rPr>
            </w:pPr>
            <w:r>
              <w:rPr>
                <w:rFonts w:hint="eastAsia" w:ascii="微软雅黑" w:hAnsi="微软雅黑" w:eastAsia="微软雅黑"/>
                <w:b/>
                <w:bCs/>
                <w:kern w:val="0"/>
                <w:szCs w:val="21"/>
                <w:u w:val="double"/>
              </w:rPr>
              <w:t>2.投标报价以</w:t>
            </w:r>
            <w:r>
              <w:rPr>
                <w:rFonts w:hint="eastAsia" w:ascii="微软雅黑" w:hAnsi="微软雅黑" w:eastAsia="微软雅黑"/>
                <w:b/>
                <w:bCs/>
                <w:color w:val="000000" w:themeColor="text1"/>
                <w:kern w:val="0"/>
                <w:szCs w:val="21"/>
                <w:u w:val="double"/>
                <w14:textFill>
                  <w14:solidFill>
                    <w14:schemeClr w14:val="tx1"/>
                  </w14:solidFill>
                </w14:textFill>
              </w:rPr>
              <w:t>“投标折扣率”</w:t>
            </w:r>
            <w:r>
              <w:rPr>
                <w:rFonts w:hint="eastAsia" w:ascii="微软雅黑" w:hAnsi="微软雅黑" w:eastAsia="微软雅黑"/>
                <w:b/>
                <w:bCs/>
                <w:kern w:val="0"/>
                <w:szCs w:val="21"/>
                <w:u w:val="double"/>
              </w:rPr>
              <w:t>进行价格评分的计算。</w:t>
            </w:r>
          </w:p>
        </w:tc>
        <w:tc>
          <w:tcPr>
            <w:tcW w:w="10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ind w:left="-78" w:leftChars="-37" w:right="-73" w:rightChars="-35"/>
              <w:jc w:val="center"/>
              <w:rPr>
                <w:rFonts w:ascii="微软雅黑" w:hAnsi="微软雅黑" w:eastAsia="微软雅黑"/>
                <w:kern w:val="0"/>
                <w:szCs w:val="21"/>
                <w:highlight w:val="yellow"/>
              </w:rPr>
            </w:pPr>
            <w:r>
              <w:rPr>
                <w:rFonts w:ascii="微软雅黑" w:hAnsi="微软雅黑" w:eastAsia="微软雅黑"/>
                <w:kern w:val="0"/>
                <w:szCs w:val="21"/>
              </w:rPr>
              <w:t>15</w:t>
            </w:r>
            <w:r>
              <w:rPr>
                <w:rFonts w:hint="eastAsia" w:ascii="微软雅黑" w:hAnsi="微软雅黑" w:eastAsia="微软雅黑"/>
                <w:kern w:val="0"/>
                <w:szCs w:val="21"/>
              </w:rPr>
              <w:t>分</w:t>
            </w:r>
          </w:p>
        </w:tc>
      </w:tr>
    </w:tbl>
    <w:p>
      <w:pPr>
        <w:widowControl/>
        <w:spacing w:line="360" w:lineRule="auto"/>
        <w:rPr>
          <w:rFonts w:ascii="微软雅黑" w:hAnsi="微软雅黑" w:eastAsia="微软雅黑" w:cs="宋体"/>
          <w:color w:val="000000"/>
          <w:kern w:val="0"/>
          <w:sz w:val="24"/>
          <w:lang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37B73"/>
    <w:multiLevelType w:val="multilevel"/>
    <w:tmpl w:val="06837B7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9745F11"/>
    <w:multiLevelType w:val="multilevel"/>
    <w:tmpl w:val="09745F11"/>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2">
    <w:nsid w:val="1D2B3182"/>
    <w:multiLevelType w:val="multilevel"/>
    <w:tmpl w:val="1D2B3182"/>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3">
    <w:nsid w:val="1D631D7B"/>
    <w:multiLevelType w:val="multilevel"/>
    <w:tmpl w:val="1D631D7B"/>
    <w:lvl w:ilvl="0" w:tentative="0">
      <w:start w:val="1"/>
      <w:numFmt w:val="decimal"/>
      <w:lvlText w:val="%1"/>
      <w:lvlJc w:val="left"/>
      <w:pPr>
        <w:ind w:left="425" w:hanging="425"/>
      </w:pPr>
      <w:rPr>
        <w:rFonts w:hint="eastAsia" w:ascii="宋体" w:hAnsi="宋体" w:eastAsia="宋体"/>
        <w:b w:val="0"/>
        <w:i w:val="0"/>
        <w:sz w:val="44"/>
      </w:rPr>
    </w:lvl>
    <w:lvl w:ilvl="1" w:tentative="0">
      <w:start w:val="1"/>
      <w:numFmt w:val="decimal"/>
      <w:pStyle w:val="2"/>
      <w:suff w:val="space"/>
      <w:lvlText w:val="%1.%2"/>
      <w:lvlJc w:val="left"/>
      <w:pPr>
        <w:ind w:left="992" w:hanging="992"/>
      </w:pPr>
      <w:rPr>
        <w:rFonts w:hint="eastAsia" w:ascii="宋体" w:hAnsi="宋体" w:eastAsia="宋体"/>
        <w:b w:val="0"/>
        <w:i w:val="0"/>
        <w:sz w:val="36"/>
      </w:rPr>
    </w:lvl>
    <w:lvl w:ilvl="2" w:tentative="0">
      <w:start w:val="1"/>
      <w:numFmt w:val="decimal"/>
      <w:pStyle w:val="3"/>
      <w:suff w:val="space"/>
      <w:lvlText w:val="%1.%2.%3"/>
      <w:lvlJc w:val="left"/>
      <w:pPr>
        <w:ind w:left="1418" w:hanging="1418"/>
      </w:pPr>
      <w:rPr>
        <w:rFonts w:hint="eastAsia" w:ascii="宋体" w:hAnsi="宋体" w:eastAsia="宋体"/>
        <w:b w:val="0"/>
        <w:i w:val="0"/>
        <w:sz w:val="32"/>
      </w:rPr>
    </w:lvl>
    <w:lvl w:ilvl="3" w:tentative="0">
      <w:start w:val="1"/>
      <w:numFmt w:val="decimal"/>
      <w:pStyle w:val="4"/>
      <w:suff w:val="space"/>
      <w:lvlText w:val="%1.%2.%3.%4"/>
      <w:lvlJc w:val="left"/>
      <w:pPr>
        <w:ind w:left="1984" w:hanging="1984"/>
      </w:pPr>
      <w:rPr>
        <w:rFonts w:hint="eastAsia" w:ascii="宋体" w:hAnsi="宋体" w:eastAsia="宋体"/>
        <w:b w:val="0"/>
        <w:i w:val="0"/>
        <w:sz w:val="30"/>
      </w:rPr>
    </w:lvl>
    <w:lvl w:ilvl="4" w:tentative="0">
      <w:start w:val="1"/>
      <w:numFmt w:val="decimal"/>
      <w:suff w:val="space"/>
      <w:lvlText w:val="%1.%2.%3.%4.%5"/>
      <w:lvlJc w:val="left"/>
      <w:pPr>
        <w:ind w:left="2551" w:hanging="2551"/>
      </w:pPr>
      <w:rPr>
        <w:rFonts w:hint="eastAsia" w:ascii="宋体" w:hAnsi="宋体" w:eastAsia="宋体"/>
        <w:b w:val="0"/>
        <w:i w:val="0"/>
        <w:sz w:val="28"/>
      </w:rPr>
    </w:lvl>
    <w:lvl w:ilvl="5" w:tentative="0">
      <w:start w:val="1"/>
      <w:numFmt w:val="decimal"/>
      <w:pStyle w:val="6"/>
      <w:suff w:val="space"/>
      <w:lvlText w:val="%1.%2.%3.%4.%5.%6"/>
      <w:lvlJc w:val="left"/>
      <w:pPr>
        <w:ind w:left="3260" w:hanging="3260"/>
      </w:pPr>
      <w:rPr>
        <w:rFonts w:hint="eastAsia" w:ascii="宋体" w:hAnsi="宋体" w:eastAsia="宋体"/>
        <w:b w:val="0"/>
        <w:i w:val="0"/>
        <w:sz w:val="24"/>
      </w:rPr>
    </w:lvl>
    <w:lvl w:ilvl="6" w:tentative="0">
      <w:start w:val="1"/>
      <w:numFmt w:val="decimal"/>
      <w:suff w:val="space"/>
      <w:lvlText w:val="%1.%2.%3.%4.%5.%6.%7"/>
      <w:lvlJc w:val="left"/>
      <w:pPr>
        <w:ind w:left="3827" w:hanging="3827"/>
      </w:pPr>
      <w:rPr>
        <w:rFonts w:hint="eastAsia" w:ascii="宋体" w:hAnsi="宋体" w:eastAsia="宋体"/>
        <w:b w:val="0"/>
        <w:i w:val="0"/>
        <w:sz w:val="24"/>
      </w:rPr>
    </w:lvl>
    <w:lvl w:ilvl="7" w:tentative="0">
      <w:start w:val="1"/>
      <w:numFmt w:val="decimal"/>
      <w:pStyle w:val="7"/>
      <w:suff w:val="space"/>
      <w:lvlText w:val="%1.%2.%3.%4.%5.%6.%7.%8"/>
      <w:lvlJc w:val="left"/>
      <w:pPr>
        <w:ind w:left="4394" w:hanging="4394"/>
      </w:pPr>
      <w:rPr>
        <w:rFonts w:hint="eastAsia" w:ascii="宋体" w:hAnsi="宋体" w:eastAsia="宋体"/>
        <w:b w:val="0"/>
        <w:i w:val="0"/>
        <w:sz w:val="24"/>
      </w:rPr>
    </w:lvl>
    <w:lvl w:ilvl="8" w:tentative="0">
      <w:start w:val="1"/>
      <w:numFmt w:val="decimal"/>
      <w:pStyle w:val="8"/>
      <w:suff w:val="space"/>
      <w:lvlText w:val="%1.%2.%3.%4.%5.%6.%7.%8.%9"/>
      <w:lvlJc w:val="left"/>
      <w:pPr>
        <w:ind w:left="5102" w:hanging="5102"/>
      </w:pPr>
      <w:rPr>
        <w:rFonts w:hint="eastAsia" w:ascii="宋体" w:hAnsi="宋体" w:eastAsia="宋体"/>
        <w:b w:val="0"/>
        <w:i w:val="0"/>
        <w:sz w:val="24"/>
      </w:rPr>
    </w:lvl>
  </w:abstractNum>
  <w:abstractNum w:abstractNumId="4">
    <w:nsid w:val="209B1F07"/>
    <w:multiLevelType w:val="multilevel"/>
    <w:tmpl w:val="209B1F07"/>
    <w:lvl w:ilvl="0" w:tentative="0">
      <w:start w:val="7"/>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color w:val="auto"/>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
    <w:nsid w:val="22C341F9"/>
    <w:multiLevelType w:val="multilevel"/>
    <w:tmpl w:val="22C341F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5DF27B0"/>
    <w:multiLevelType w:val="multilevel"/>
    <w:tmpl w:val="25DF27B0"/>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7">
    <w:nsid w:val="2AFB10F6"/>
    <w:multiLevelType w:val="multilevel"/>
    <w:tmpl w:val="2AFB10F6"/>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8">
    <w:nsid w:val="31501247"/>
    <w:multiLevelType w:val="multilevel"/>
    <w:tmpl w:val="31501247"/>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5"/>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9">
    <w:nsid w:val="325D5617"/>
    <w:multiLevelType w:val="multilevel"/>
    <w:tmpl w:val="325D5617"/>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0">
    <w:nsid w:val="3DFA599B"/>
    <w:multiLevelType w:val="multilevel"/>
    <w:tmpl w:val="3DFA599B"/>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1">
    <w:nsid w:val="4DDF1E29"/>
    <w:multiLevelType w:val="multilevel"/>
    <w:tmpl w:val="4DDF1E29"/>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2">
    <w:nsid w:val="64E03733"/>
    <w:multiLevelType w:val="multilevel"/>
    <w:tmpl w:val="64E03733"/>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3">
    <w:nsid w:val="6A9366D1"/>
    <w:multiLevelType w:val="multilevel"/>
    <w:tmpl w:val="6A9366D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F6E7036"/>
    <w:multiLevelType w:val="multilevel"/>
    <w:tmpl w:val="7F6E703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8"/>
  </w:num>
  <w:num w:numId="3">
    <w:abstractNumId w:val="4"/>
  </w:num>
  <w:num w:numId="4">
    <w:abstractNumId w:val="5"/>
  </w:num>
  <w:num w:numId="5">
    <w:abstractNumId w:val="13"/>
  </w:num>
  <w:num w:numId="6">
    <w:abstractNumId w:val="14"/>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hiNzg2MjFkNDg4ZjY4MjIwOTZhNmY2OGJkNmFlY2IifQ=="/>
  </w:docVars>
  <w:rsids>
    <w:rsidRoot w:val="00155E74"/>
    <w:rsid w:val="00011319"/>
    <w:rsid w:val="00045128"/>
    <w:rsid w:val="00061A89"/>
    <w:rsid w:val="000D62B8"/>
    <w:rsid w:val="000E3EF7"/>
    <w:rsid w:val="000E46F7"/>
    <w:rsid w:val="00144D2B"/>
    <w:rsid w:val="00155E74"/>
    <w:rsid w:val="001D7997"/>
    <w:rsid w:val="0023115B"/>
    <w:rsid w:val="00286794"/>
    <w:rsid w:val="00294A19"/>
    <w:rsid w:val="00297658"/>
    <w:rsid w:val="002A31B5"/>
    <w:rsid w:val="003001CB"/>
    <w:rsid w:val="003A2D2A"/>
    <w:rsid w:val="003B43C3"/>
    <w:rsid w:val="00443B36"/>
    <w:rsid w:val="00463DE4"/>
    <w:rsid w:val="005028FF"/>
    <w:rsid w:val="00583364"/>
    <w:rsid w:val="005B6CEA"/>
    <w:rsid w:val="00616756"/>
    <w:rsid w:val="0066075D"/>
    <w:rsid w:val="006A5E5E"/>
    <w:rsid w:val="006C357D"/>
    <w:rsid w:val="006C44D4"/>
    <w:rsid w:val="006F5D9A"/>
    <w:rsid w:val="00764410"/>
    <w:rsid w:val="00780EE1"/>
    <w:rsid w:val="007C3A64"/>
    <w:rsid w:val="00846B30"/>
    <w:rsid w:val="008967DF"/>
    <w:rsid w:val="008E30BE"/>
    <w:rsid w:val="00920018"/>
    <w:rsid w:val="009805D5"/>
    <w:rsid w:val="009F38DA"/>
    <w:rsid w:val="00A10062"/>
    <w:rsid w:val="00A53076"/>
    <w:rsid w:val="00A774FD"/>
    <w:rsid w:val="00AC07FC"/>
    <w:rsid w:val="00AC1DCE"/>
    <w:rsid w:val="00B168C4"/>
    <w:rsid w:val="00B7485B"/>
    <w:rsid w:val="00B83FCA"/>
    <w:rsid w:val="00BD211B"/>
    <w:rsid w:val="00C65ED5"/>
    <w:rsid w:val="00DE689B"/>
    <w:rsid w:val="00E3086A"/>
    <w:rsid w:val="00E31BC6"/>
    <w:rsid w:val="00E77328"/>
    <w:rsid w:val="00EB7EDD"/>
    <w:rsid w:val="00F134C4"/>
    <w:rsid w:val="00F313BA"/>
    <w:rsid w:val="00F42326"/>
    <w:rsid w:val="00F449BA"/>
    <w:rsid w:val="00F5054A"/>
    <w:rsid w:val="00F5701E"/>
    <w:rsid w:val="38834B4C"/>
    <w:rsid w:val="50A6102B"/>
    <w:rsid w:val="58F96EAE"/>
    <w:rsid w:val="625C700B"/>
    <w:rsid w:val="76733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7"/>
    <w:unhideWhenUsed/>
    <w:qFormat/>
    <w:uiPriority w:val="9"/>
    <w:pPr>
      <w:keepNext/>
      <w:keepLines/>
      <w:numPr>
        <w:ilvl w:val="1"/>
        <w:numId w:val="1"/>
      </w:numPr>
      <w:spacing w:line="360" w:lineRule="auto"/>
      <w:jc w:val="left"/>
      <w:outlineLvl w:val="1"/>
    </w:pPr>
    <w:rPr>
      <w:rFonts w:asciiTheme="majorHAnsi" w:hAnsiTheme="majorHAnsi" w:eastAsiaTheme="majorEastAsia" w:cstheme="majorBidi"/>
      <w:b/>
      <w:bCs/>
      <w:sz w:val="32"/>
      <w:szCs w:val="32"/>
    </w:rPr>
  </w:style>
  <w:style w:type="paragraph" w:styleId="3">
    <w:name w:val="heading 3"/>
    <w:basedOn w:val="1"/>
    <w:next w:val="1"/>
    <w:link w:val="18"/>
    <w:unhideWhenUsed/>
    <w:qFormat/>
    <w:uiPriority w:val="9"/>
    <w:pPr>
      <w:keepNext/>
      <w:keepLines/>
      <w:numPr>
        <w:ilvl w:val="2"/>
        <w:numId w:val="1"/>
      </w:numPr>
      <w:spacing w:line="360" w:lineRule="auto"/>
      <w:jc w:val="left"/>
      <w:outlineLvl w:val="2"/>
    </w:pPr>
    <w:rPr>
      <w:rFonts w:ascii="Calibri" w:hAnsi="Calibri"/>
      <w:b/>
      <w:bCs/>
      <w:sz w:val="32"/>
      <w:szCs w:val="32"/>
    </w:rPr>
  </w:style>
  <w:style w:type="paragraph" w:styleId="4">
    <w:name w:val="heading 4"/>
    <w:basedOn w:val="1"/>
    <w:next w:val="1"/>
    <w:link w:val="16"/>
    <w:unhideWhenUsed/>
    <w:qFormat/>
    <w:uiPriority w:val="9"/>
    <w:pPr>
      <w:keepNext/>
      <w:keepLines/>
      <w:numPr>
        <w:ilvl w:val="3"/>
        <w:numId w:val="1"/>
      </w:numPr>
      <w:spacing w:line="360" w:lineRule="auto"/>
      <w:contextualSpacing/>
      <w:jc w:val="left"/>
      <w:outlineLvl w:val="3"/>
    </w:pPr>
    <w:rPr>
      <w:rFonts w:asciiTheme="majorHAnsi" w:hAnsiTheme="majorHAnsi" w:eastAsiaTheme="majorEastAsia" w:cstheme="majorBidi"/>
      <w:b/>
      <w:bCs/>
      <w:sz w:val="28"/>
      <w:szCs w:val="28"/>
    </w:rPr>
  </w:style>
  <w:style w:type="paragraph" w:styleId="5">
    <w:name w:val="heading 5"/>
    <w:basedOn w:val="1"/>
    <w:next w:val="1"/>
    <w:link w:val="19"/>
    <w:unhideWhenUsed/>
    <w:qFormat/>
    <w:uiPriority w:val="9"/>
    <w:pPr>
      <w:keepNext/>
      <w:keepLines/>
      <w:numPr>
        <w:ilvl w:val="4"/>
        <w:numId w:val="2"/>
      </w:numPr>
      <w:spacing w:line="360" w:lineRule="auto"/>
      <w:ind w:hanging="2552" w:hangingChars="1215"/>
      <w:contextualSpacing/>
      <w:outlineLvl w:val="4"/>
    </w:pPr>
    <w:rPr>
      <w:rFonts w:ascii="Calibri" w:hAnsi="Calibri"/>
      <w:b/>
      <w:bCs/>
      <w:sz w:val="28"/>
      <w:szCs w:val="28"/>
    </w:rPr>
  </w:style>
  <w:style w:type="paragraph" w:styleId="6">
    <w:name w:val="heading 6"/>
    <w:basedOn w:val="1"/>
    <w:next w:val="1"/>
    <w:link w:val="20"/>
    <w:unhideWhenUsed/>
    <w:qFormat/>
    <w:uiPriority w:val="9"/>
    <w:pPr>
      <w:keepNext/>
      <w:keepLines/>
      <w:numPr>
        <w:ilvl w:val="5"/>
        <w:numId w:val="1"/>
      </w:numPr>
      <w:spacing w:line="360" w:lineRule="auto"/>
      <w:contextualSpacing/>
      <w:outlineLvl w:val="5"/>
    </w:pPr>
    <w:rPr>
      <w:rFonts w:asciiTheme="majorHAnsi" w:hAnsiTheme="majorHAnsi" w:eastAsiaTheme="majorEastAsia" w:cstheme="majorBidi"/>
      <w:b/>
      <w:bCs/>
      <w:sz w:val="24"/>
      <w:szCs w:val="24"/>
    </w:rPr>
  </w:style>
  <w:style w:type="paragraph" w:styleId="7">
    <w:name w:val="heading 8"/>
    <w:basedOn w:val="1"/>
    <w:next w:val="1"/>
    <w:link w:val="21"/>
    <w:unhideWhenUsed/>
    <w:qFormat/>
    <w:uiPriority w:val="9"/>
    <w:pPr>
      <w:keepNext/>
      <w:keepLines/>
      <w:numPr>
        <w:ilvl w:val="7"/>
        <w:numId w:val="1"/>
      </w:numPr>
      <w:spacing w:line="360" w:lineRule="auto"/>
      <w:contextualSpacing/>
      <w:jc w:val="left"/>
      <w:outlineLvl w:val="7"/>
    </w:pPr>
    <w:rPr>
      <w:rFonts w:asciiTheme="majorHAnsi" w:hAnsiTheme="majorHAnsi" w:eastAsiaTheme="majorEastAsia" w:cstheme="majorBidi"/>
      <w:b/>
      <w:sz w:val="24"/>
      <w:szCs w:val="24"/>
    </w:rPr>
  </w:style>
  <w:style w:type="paragraph" w:styleId="8">
    <w:name w:val="heading 9"/>
    <w:basedOn w:val="1"/>
    <w:next w:val="1"/>
    <w:link w:val="22"/>
    <w:unhideWhenUsed/>
    <w:qFormat/>
    <w:uiPriority w:val="9"/>
    <w:pPr>
      <w:keepNext/>
      <w:keepLines/>
      <w:numPr>
        <w:ilvl w:val="8"/>
        <w:numId w:val="1"/>
      </w:numPr>
      <w:spacing w:line="360" w:lineRule="auto"/>
      <w:contextualSpacing/>
      <w:outlineLvl w:val="8"/>
    </w:pPr>
    <w:rPr>
      <w:rFonts w:asciiTheme="majorHAnsi" w:hAnsiTheme="majorHAnsi" w:eastAsiaTheme="majorEastAsia" w:cstheme="majorBidi"/>
      <w:b/>
      <w:szCs w:val="21"/>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9">
    <w:name w:val="Plain Text"/>
    <w:basedOn w:val="1"/>
    <w:link w:val="25"/>
    <w:qFormat/>
    <w:uiPriority w:val="0"/>
    <w:rPr>
      <w:rFonts w:ascii="宋体" w:hAnsi="Courier New" w:cs="Courier New"/>
      <w:szCs w:val="21"/>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0"/>
    <w:pPr>
      <w:widowControl/>
      <w:spacing w:before="100" w:beforeAutospacing="1" w:after="100" w:afterAutospacing="1"/>
      <w:jc w:val="left"/>
    </w:pPr>
    <w:rPr>
      <w:rFonts w:ascii="宋体" w:hAnsi="宋体"/>
      <w:kern w:val="0"/>
      <w:sz w:val="24"/>
      <w:szCs w:val="24"/>
    </w:rPr>
  </w:style>
  <w:style w:type="table" w:styleId="14">
    <w:name w:val="Table Grid"/>
    <w:basedOn w:val="13"/>
    <w:qFormat/>
    <w:uiPriority w:val="3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标题 4 字符"/>
    <w:basedOn w:val="15"/>
    <w:link w:val="4"/>
    <w:qFormat/>
    <w:uiPriority w:val="9"/>
    <w:rPr>
      <w:rFonts w:asciiTheme="majorHAnsi" w:hAnsiTheme="majorHAnsi" w:eastAsiaTheme="majorEastAsia" w:cstheme="majorBidi"/>
      <w:b/>
      <w:bCs/>
      <w:sz w:val="28"/>
      <w:szCs w:val="28"/>
    </w:rPr>
  </w:style>
  <w:style w:type="character" w:customStyle="1" w:styleId="17">
    <w:name w:val="标题 2 字符"/>
    <w:basedOn w:val="15"/>
    <w:link w:val="2"/>
    <w:qFormat/>
    <w:uiPriority w:val="9"/>
    <w:rPr>
      <w:rFonts w:asciiTheme="majorHAnsi" w:hAnsiTheme="majorHAnsi" w:eastAsiaTheme="majorEastAsia" w:cstheme="majorBidi"/>
      <w:b/>
      <w:bCs/>
      <w:sz w:val="32"/>
      <w:szCs w:val="32"/>
    </w:rPr>
  </w:style>
  <w:style w:type="character" w:customStyle="1" w:styleId="18">
    <w:name w:val="标题 3 字符"/>
    <w:basedOn w:val="15"/>
    <w:link w:val="3"/>
    <w:qFormat/>
    <w:uiPriority w:val="9"/>
    <w:rPr>
      <w:rFonts w:ascii="Calibri" w:hAnsi="Calibri"/>
      <w:b/>
      <w:bCs/>
      <w:sz w:val="32"/>
      <w:szCs w:val="32"/>
    </w:rPr>
  </w:style>
  <w:style w:type="character" w:customStyle="1" w:styleId="19">
    <w:name w:val="标题 5 字符"/>
    <w:basedOn w:val="15"/>
    <w:link w:val="5"/>
    <w:qFormat/>
    <w:uiPriority w:val="9"/>
    <w:rPr>
      <w:rFonts w:ascii="Calibri" w:hAnsi="Calibri"/>
      <w:b/>
      <w:bCs/>
      <w:sz w:val="28"/>
      <w:szCs w:val="28"/>
    </w:rPr>
  </w:style>
  <w:style w:type="character" w:customStyle="1" w:styleId="20">
    <w:name w:val="标题 6 字符"/>
    <w:basedOn w:val="15"/>
    <w:link w:val="6"/>
    <w:qFormat/>
    <w:uiPriority w:val="9"/>
    <w:rPr>
      <w:rFonts w:asciiTheme="majorHAnsi" w:hAnsiTheme="majorHAnsi" w:eastAsiaTheme="majorEastAsia" w:cstheme="majorBidi"/>
      <w:b/>
      <w:bCs/>
      <w:sz w:val="24"/>
      <w:szCs w:val="24"/>
    </w:rPr>
  </w:style>
  <w:style w:type="character" w:customStyle="1" w:styleId="21">
    <w:name w:val="标题 8 字符"/>
    <w:basedOn w:val="15"/>
    <w:link w:val="7"/>
    <w:qFormat/>
    <w:uiPriority w:val="9"/>
    <w:rPr>
      <w:rFonts w:asciiTheme="majorHAnsi" w:hAnsiTheme="majorHAnsi" w:eastAsiaTheme="majorEastAsia" w:cstheme="majorBidi"/>
      <w:b/>
      <w:sz w:val="24"/>
      <w:szCs w:val="24"/>
    </w:rPr>
  </w:style>
  <w:style w:type="character" w:customStyle="1" w:styleId="22">
    <w:name w:val="标题 9 字符"/>
    <w:basedOn w:val="15"/>
    <w:link w:val="8"/>
    <w:qFormat/>
    <w:uiPriority w:val="9"/>
    <w:rPr>
      <w:rFonts w:asciiTheme="majorHAnsi" w:hAnsiTheme="majorHAnsi" w:eastAsiaTheme="majorEastAsia" w:cstheme="majorBidi"/>
      <w:b/>
      <w:szCs w:val="21"/>
    </w:rPr>
  </w:style>
  <w:style w:type="character" w:customStyle="1" w:styleId="23">
    <w:name w:val="页眉 字符"/>
    <w:basedOn w:val="15"/>
    <w:link w:val="11"/>
    <w:qFormat/>
    <w:uiPriority w:val="99"/>
    <w:rPr>
      <w:sz w:val="18"/>
      <w:szCs w:val="18"/>
    </w:rPr>
  </w:style>
  <w:style w:type="character" w:customStyle="1" w:styleId="24">
    <w:name w:val="页脚 字符"/>
    <w:basedOn w:val="15"/>
    <w:link w:val="10"/>
    <w:qFormat/>
    <w:uiPriority w:val="99"/>
    <w:rPr>
      <w:sz w:val="18"/>
      <w:szCs w:val="18"/>
    </w:rPr>
  </w:style>
  <w:style w:type="character" w:customStyle="1" w:styleId="25">
    <w:name w:val="纯文本 字符"/>
    <w:basedOn w:val="15"/>
    <w:link w:val="9"/>
    <w:qFormat/>
    <w:uiPriority w:val="0"/>
    <w:rPr>
      <w:rFonts w:ascii="宋体" w:hAnsi="Courier New" w:eastAsia="宋体" w:cs="Courier New"/>
      <w:szCs w:val="21"/>
    </w:rPr>
  </w:style>
  <w:style w:type="paragraph" w:styleId="26">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3597</Words>
  <Characters>3754</Characters>
  <Lines>27</Lines>
  <Paragraphs>7</Paragraphs>
  <TotalTime>21</TotalTime>
  <ScaleCrop>false</ScaleCrop>
  <LinksUpToDate>false</LinksUpToDate>
  <CharactersWithSpaces>3766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2022-12-07T05:29:00Z</dcterms:created>
  <dc:creator>lenovo</dc:creator>
  <cp:lastModifiedBy>大潮</cp:lastModifiedBy>
  <dcterms:modified xsi:type="dcterms:W3CDTF">2022-12-19T07:43:49Z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F23D865828C44FB78730FA72E507D006</vt:lpwstr>
  </property>
</Properties>
</file>